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rFonts w:hint="eastAsia" w:ascii="宋体" w:hAnsi="宋体" w:eastAsia="宋体"/>
          <w:b/>
          <w:bCs/>
          <w:sz w:val="52"/>
          <w:szCs w:val="52"/>
        </w:rPr>
      </w:pPr>
      <w:bookmarkStart w:id="0" w:name="_Toc318476443"/>
    </w:p>
    <w:p>
      <w:pPr>
        <w:ind w:firstLine="1044"/>
        <w:jc w:val="center"/>
        <w:rPr>
          <w:rFonts w:hint="eastAsia" w:ascii="宋体" w:hAnsi="宋体" w:eastAsia="宋体"/>
          <w:b/>
          <w:bCs/>
          <w:color w:val="auto"/>
          <w:sz w:val="52"/>
          <w:szCs w:val="52"/>
        </w:rPr>
      </w:pPr>
    </w:p>
    <w:p>
      <w:pPr>
        <w:ind w:firstLine="0" w:firstLineChars="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北京市社会科学院百姓宣讲活动</w:t>
      </w:r>
    </w:p>
    <w:p>
      <w:pPr>
        <w:ind w:firstLine="0" w:firstLineChars="0"/>
        <w:jc w:val="center"/>
        <w:rPr>
          <w:rFonts w:hint="eastAsia" w:ascii="黑体" w:hAnsi="黑体" w:eastAsia="黑体" w:cs="黑体"/>
          <w:b/>
          <w:bCs/>
          <w:color w:val="auto"/>
          <w:sz w:val="52"/>
          <w:szCs w:val="52"/>
        </w:rPr>
      </w:pPr>
      <w:r>
        <w:rPr>
          <w:rFonts w:hint="eastAsia" w:ascii="黑体" w:hAnsi="黑体" w:eastAsia="黑体" w:cs="黑体"/>
          <w:b/>
          <w:bCs/>
          <w:color w:val="auto"/>
          <w:sz w:val="44"/>
          <w:szCs w:val="44"/>
        </w:rPr>
        <w:t>项目绩效自评报告</w:t>
      </w:r>
    </w:p>
    <w:p>
      <w:pPr>
        <w:ind w:firstLine="562"/>
        <w:jc w:val="center"/>
        <w:rPr>
          <w:rFonts w:hint="eastAsia" w:ascii="黑体" w:hAnsi="黑体" w:eastAsia="黑体" w:cs="黑体"/>
          <w:b/>
          <w:bCs/>
          <w:color w:val="auto"/>
          <w:szCs w:val="28"/>
        </w:rPr>
      </w:pPr>
    </w:p>
    <w:p>
      <w:pPr>
        <w:ind w:firstLine="562"/>
        <w:jc w:val="center"/>
        <w:rPr>
          <w:rFonts w:hint="eastAsia" w:ascii="黑体" w:hAnsi="黑体" w:eastAsia="黑体" w:cs="黑体"/>
          <w:b/>
          <w:bCs/>
          <w:color w:val="auto"/>
          <w:szCs w:val="28"/>
        </w:rPr>
      </w:pPr>
    </w:p>
    <w:p>
      <w:pPr>
        <w:ind w:firstLine="562"/>
        <w:jc w:val="center"/>
        <w:rPr>
          <w:rFonts w:hint="eastAsia" w:ascii="黑体" w:hAnsi="黑体" w:eastAsia="黑体" w:cs="黑体"/>
          <w:b/>
          <w:bCs/>
          <w:color w:val="auto"/>
          <w:szCs w:val="28"/>
        </w:rPr>
      </w:pPr>
    </w:p>
    <w:p>
      <w:pPr>
        <w:ind w:firstLine="560"/>
        <w:jc w:val="center"/>
        <w:rPr>
          <w:rFonts w:hint="eastAsia" w:ascii="黑体" w:hAnsi="黑体" w:eastAsia="黑体" w:cs="黑体"/>
          <w:color w:val="auto"/>
          <w:szCs w:val="28"/>
        </w:rPr>
      </w:pPr>
    </w:p>
    <w:p>
      <w:pPr>
        <w:ind w:firstLine="640"/>
        <w:jc w:val="center"/>
        <w:rPr>
          <w:rFonts w:hint="eastAsia" w:ascii="黑体" w:hAnsi="黑体" w:eastAsia="黑体" w:cs="黑体"/>
          <w:color w:val="auto"/>
          <w:sz w:val="32"/>
          <w:szCs w:val="32"/>
        </w:rPr>
      </w:pPr>
    </w:p>
    <w:p>
      <w:pPr>
        <w:ind w:firstLine="640"/>
        <w:jc w:val="center"/>
        <w:rPr>
          <w:rFonts w:hint="eastAsia" w:ascii="黑体" w:hAnsi="黑体" w:eastAsia="黑体" w:cs="黑体"/>
          <w:color w:val="auto"/>
          <w:sz w:val="32"/>
          <w:szCs w:val="32"/>
        </w:rPr>
      </w:pPr>
    </w:p>
    <w:p>
      <w:pPr>
        <w:ind w:firstLine="640"/>
        <w:jc w:val="center"/>
        <w:rPr>
          <w:rFonts w:hint="eastAsia" w:ascii="黑体" w:hAnsi="黑体" w:eastAsia="黑体" w:cs="黑体"/>
          <w:color w:val="auto"/>
          <w:sz w:val="32"/>
          <w:szCs w:val="32"/>
        </w:rPr>
      </w:pPr>
    </w:p>
    <w:p>
      <w:pPr>
        <w:ind w:firstLine="640"/>
        <w:jc w:val="center"/>
        <w:rPr>
          <w:rFonts w:hint="eastAsia" w:ascii="黑体" w:hAnsi="黑体" w:eastAsia="黑体" w:cs="黑体"/>
          <w:color w:val="auto"/>
          <w:sz w:val="32"/>
          <w:szCs w:val="32"/>
        </w:rPr>
      </w:pPr>
    </w:p>
    <w:p>
      <w:pPr>
        <w:ind w:firstLine="640"/>
        <w:jc w:val="center"/>
        <w:rPr>
          <w:rFonts w:hint="eastAsia" w:ascii="黑体" w:hAnsi="黑体" w:eastAsia="黑体" w:cs="黑体"/>
          <w:color w:val="auto"/>
          <w:sz w:val="32"/>
          <w:szCs w:val="32"/>
        </w:rPr>
      </w:pPr>
    </w:p>
    <w:p>
      <w:pPr>
        <w:ind w:firstLine="720"/>
        <w:rPr>
          <w:rFonts w:hint="eastAsia" w:ascii="黑体" w:hAnsi="黑体" w:eastAsia="黑体" w:cs="黑体"/>
          <w:color w:val="auto"/>
          <w:sz w:val="36"/>
          <w:szCs w:val="36"/>
          <w:u w:val="single"/>
        </w:rPr>
      </w:pPr>
      <w:r>
        <w:rPr>
          <w:rFonts w:hint="eastAsia" w:ascii="黑体" w:hAnsi="黑体" w:eastAsia="黑体" w:cs="黑体"/>
          <w:color w:val="auto"/>
          <w:sz w:val="36"/>
          <w:szCs w:val="36"/>
        </w:rPr>
        <w:t>项目名称:</w:t>
      </w:r>
      <w:r>
        <w:rPr>
          <w:rFonts w:hint="eastAsia" w:ascii="黑体" w:hAnsi="黑体" w:eastAsia="黑体" w:cs="黑体"/>
          <w:color w:val="auto"/>
          <w:sz w:val="36"/>
          <w:szCs w:val="36"/>
          <w:u w:val="single"/>
        </w:rPr>
        <w:t xml:space="preserve">     百姓宣讲活动项目              </w:t>
      </w:r>
    </w:p>
    <w:p>
      <w:pPr>
        <w:ind w:firstLine="720"/>
        <w:rPr>
          <w:rFonts w:hint="eastAsia" w:ascii="黑体" w:hAnsi="黑体" w:eastAsia="黑体" w:cs="黑体"/>
          <w:color w:val="auto"/>
          <w:sz w:val="36"/>
          <w:szCs w:val="36"/>
        </w:rPr>
      </w:pPr>
      <w:r>
        <w:rPr>
          <w:rFonts w:hint="eastAsia" w:ascii="黑体" w:hAnsi="黑体" w:eastAsia="黑体" w:cs="黑体"/>
          <w:color w:val="auto"/>
          <w:sz w:val="36"/>
          <w:szCs w:val="36"/>
        </w:rPr>
        <w:t>评价机构:</w:t>
      </w:r>
      <w:r>
        <w:rPr>
          <w:rFonts w:hint="eastAsia" w:ascii="黑体" w:hAnsi="黑体" w:eastAsia="黑体" w:cs="黑体"/>
          <w:color w:val="auto"/>
          <w:sz w:val="36"/>
          <w:szCs w:val="36"/>
          <w:u w:val="single"/>
        </w:rPr>
        <w:t xml:space="preserve">  北京玮博合利会计师事务所有限公司 </w:t>
      </w:r>
    </w:p>
    <w:p>
      <w:pPr>
        <w:ind w:firstLine="0" w:firstLineChars="0"/>
        <w:rPr>
          <w:rFonts w:hint="eastAsia" w:ascii="仿宋" w:hAnsi="仿宋" w:eastAsia="仿宋"/>
          <w:color w:val="auto"/>
          <w:szCs w:val="28"/>
          <w:u w:val="single"/>
        </w:rPr>
      </w:pPr>
    </w:p>
    <w:p>
      <w:pPr>
        <w:ind w:firstLine="1400" w:firstLineChars="500"/>
        <w:rPr>
          <w:rFonts w:hint="eastAsia" w:ascii="仿宋" w:hAnsi="仿宋" w:eastAsia="仿宋"/>
          <w:color w:val="auto"/>
          <w:szCs w:val="28"/>
          <w:u w:val="single"/>
        </w:rPr>
      </w:pPr>
    </w:p>
    <w:p>
      <w:pPr>
        <w:ind w:firstLine="1400" w:firstLineChars="500"/>
        <w:jc w:val="center"/>
        <w:rPr>
          <w:rFonts w:ascii="仿宋" w:hAnsi="仿宋" w:eastAsia="仿宋"/>
          <w:color w:val="auto"/>
          <w:szCs w:val="28"/>
          <w:u w:val="single"/>
        </w:rPr>
      </w:pPr>
    </w:p>
    <w:p>
      <w:pPr>
        <w:ind w:firstLine="1400" w:firstLineChars="500"/>
        <w:jc w:val="center"/>
        <w:rPr>
          <w:rFonts w:hint="eastAsia" w:ascii="仿宋" w:hAnsi="仿宋" w:eastAsia="仿宋"/>
          <w:color w:val="auto"/>
          <w:szCs w:val="28"/>
          <w:u w:val="single"/>
        </w:rPr>
      </w:pPr>
    </w:p>
    <w:p>
      <w:pPr>
        <w:ind w:firstLine="0" w:firstLineChars="0"/>
        <w:jc w:val="center"/>
        <w:rPr>
          <w:rFonts w:ascii="黑体" w:hAnsi="黑体" w:eastAsia="黑体"/>
          <w:color w:val="auto"/>
          <w:sz w:val="36"/>
          <w:szCs w:val="36"/>
        </w:rPr>
      </w:pPr>
      <w:r>
        <w:rPr>
          <w:rFonts w:hint="eastAsia" w:ascii="黑体" w:hAnsi="黑体" w:eastAsia="黑体"/>
          <w:color w:val="auto"/>
          <w:sz w:val="36"/>
          <w:szCs w:val="36"/>
        </w:rPr>
        <w:t>北京市社会科学院</w:t>
      </w:r>
    </w:p>
    <w:p>
      <w:pPr>
        <w:ind w:firstLine="0" w:firstLineChars="0"/>
        <w:jc w:val="center"/>
        <w:rPr>
          <w:rFonts w:hint="eastAsia" w:ascii="黑体" w:hAnsi="黑体" w:eastAsia="黑体"/>
          <w:color w:val="auto"/>
          <w:sz w:val="36"/>
          <w:szCs w:val="36"/>
        </w:rPr>
      </w:pPr>
      <w:r>
        <w:rPr>
          <w:rFonts w:ascii="黑体" w:hAnsi="黑体" w:eastAsia="黑体"/>
          <w:color w:val="auto"/>
          <w:sz w:val="36"/>
          <w:szCs w:val="36"/>
        </w:rPr>
        <w:t>202</w:t>
      </w:r>
      <w:r>
        <w:rPr>
          <w:rFonts w:hint="eastAsia" w:ascii="黑体" w:hAnsi="黑体" w:eastAsia="黑体"/>
          <w:color w:val="auto"/>
          <w:sz w:val="36"/>
          <w:szCs w:val="36"/>
        </w:rPr>
        <w:t>4</w:t>
      </w:r>
      <w:r>
        <w:rPr>
          <w:rFonts w:ascii="黑体" w:hAnsi="黑体" w:eastAsia="黑体"/>
          <w:color w:val="auto"/>
          <w:sz w:val="36"/>
          <w:szCs w:val="36"/>
        </w:rPr>
        <w:t xml:space="preserve"> </w:t>
      </w:r>
      <w:r>
        <w:rPr>
          <w:rFonts w:hint="eastAsia" w:ascii="黑体" w:hAnsi="黑体" w:eastAsia="黑体"/>
          <w:color w:val="auto"/>
          <w:sz w:val="36"/>
          <w:szCs w:val="36"/>
        </w:rPr>
        <w:t xml:space="preserve">年 </w:t>
      </w:r>
      <w:r>
        <w:rPr>
          <w:rFonts w:ascii="黑体" w:hAnsi="黑体" w:eastAsia="黑体"/>
          <w:color w:val="auto"/>
          <w:sz w:val="36"/>
          <w:szCs w:val="36"/>
        </w:rPr>
        <w:t>0</w:t>
      </w:r>
      <w:r>
        <w:rPr>
          <w:rFonts w:hint="eastAsia" w:ascii="黑体" w:hAnsi="黑体" w:eastAsia="黑体"/>
          <w:color w:val="auto"/>
          <w:sz w:val="36"/>
          <w:szCs w:val="36"/>
        </w:rPr>
        <w:t>5月</w:t>
      </w:r>
    </w:p>
    <w:p>
      <w:pPr>
        <w:ind w:firstLine="560"/>
        <w:jc w:val="center"/>
        <w:rPr>
          <w:rFonts w:ascii="仿宋" w:hAnsi="仿宋" w:eastAsia="仿宋"/>
          <w:color w:val="auto"/>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361" w:bottom="1440" w:left="1361" w:header="851" w:footer="992" w:gutter="0"/>
          <w:pgNumType w:start="0"/>
          <w:cols w:space="720" w:num="1"/>
          <w:titlePg/>
          <w:docGrid w:type="lines" w:linePitch="381" w:charSpace="0"/>
        </w:sectPr>
      </w:pPr>
    </w:p>
    <w:p>
      <w:pPr>
        <w:ind w:firstLine="0" w:firstLineChars="0"/>
        <w:jc w:val="center"/>
        <w:rPr>
          <w:rFonts w:hint="eastAsia" w:ascii="仿宋" w:hAnsi="仿宋" w:eastAsia="仿宋" w:cs="仿宋"/>
          <w:color w:val="auto"/>
          <w:sz w:val="32"/>
          <w:szCs w:val="24"/>
        </w:rPr>
      </w:pPr>
      <w:r>
        <w:rPr>
          <w:rFonts w:hint="eastAsia" w:ascii="仿宋" w:hAnsi="仿宋" w:eastAsia="仿宋" w:cs="仿宋"/>
          <w:color w:val="auto"/>
          <w:sz w:val="32"/>
          <w:szCs w:val="24"/>
        </w:rPr>
        <w:t>目 录</w:t>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\l _Toc31985 </w:instrText>
      </w:r>
      <w:r>
        <w:rPr>
          <w:rFonts w:hint="eastAsia" w:ascii="仿宋" w:hAnsi="仿宋" w:eastAsia="仿宋" w:cs="仿宋"/>
          <w:color w:val="auto"/>
          <w:sz w:val="24"/>
        </w:rPr>
        <w:fldChar w:fldCharType="separate"/>
      </w:r>
      <w:r>
        <w:rPr>
          <w:rFonts w:hint="eastAsia" w:ascii="仿宋" w:hAnsi="仿宋" w:eastAsia="仿宋" w:cs="仿宋"/>
          <w:color w:val="auto"/>
          <w:sz w:val="24"/>
          <w:szCs w:val="21"/>
        </w:rPr>
        <w:t>一、项目基本情况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_Toc31985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w:t>
      </w:r>
      <w:r>
        <w:rPr>
          <w:rFonts w:hint="eastAsia" w:ascii="仿宋" w:hAnsi="仿宋" w:eastAsia="仿宋" w:cs="仿宋"/>
          <w:color w:val="auto"/>
          <w:sz w:val="24"/>
          <w:szCs w:val="21"/>
        </w:rPr>
        <w:fldChar w:fldCharType="end"/>
      </w:r>
      <w:r>
        <w:rPr>
          <w:rFonts w:hint="eastAsia" w:ascii="仿宋" w:hAnsi="仿宋" w:eastAsia="仿宋" w:cs="仿宋"/>
          <w:color w:val="auto"/>
          <w:sz w:val="24"/>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_Toc25291 </w:instrText>
      </w:r>
      <w:r>
        <w:rPr>
          <w:rFonts w:hint="eastAsia" w:cs="仿宋"/>
          <w:bCs/>
          <w:color w:val="auto"/>
          <w:sz w:val="24"/>
          <w:lang w:val="zh-CN"/>
        </w:rPr>
        <w:fldChar w:fldCharType="separate"/>
      </w:r>
      <w:r>
        <w:rPr>
          <w:rFonts w:hint="eastAsia" w:cs="仿宋"/>
          <w:color w:val="auto"/>
          <w:sz w:val="24"/>
          <w:szCs w:val="21"/>
        </w:rPr>
        <w:t>（一）项目概况</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_Toc25291 \h </w:instrText>
      </w:r>
      <w:r>
        <w:rPr>
          <w:rFonts w:hint="eastAsia" w:cs="仿宋"/>
          <w:color w:val="auto"/>
          <w:sz w:val="24"/>
          <w:szCs w:val="21"/>
        </w:rPr>
        <w:fldChar w:fldCharType="separate"/>
      </w:r>
      <w:r>
        <w:rPr>
          <w:rFonts w:hint="eastAsia" w:cs="仿宋"/>
          <w:color w:val="auto"/>
          <w:sz w:val="24"/>
          <w:szCs w:val="21"/>
        </w:rPr>
        <w:t>1</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_Toc17555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kern w:val="44"/>
          <w:sz w:val="24"/>
          <w:szCs w:val="24"/>
        </w:rPr>
        <w:t>1.项目背景</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_Toc17555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_Toc25704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kern w:val="44"/>
          <w:sz w:val="24"/>
          <w:szCs w:val="24"/>
        </w:rPr>
        <w:t>2.项目主要内容及实施情况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_Toc25704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2</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_Toc30672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3.项目资金投入和使用情况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_Toc30672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3</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_Toc23956 </w:instrText>
      </w:r>
      <w:r>
        <w:rPr>
          <w:rFonts w:hint="eastAsia" w:cs="仿宋"/>
          <w:bCs/>
          <w:color w:val="auto"/>
          <w:sz w:val="24"/>
          <w:lang w:val="zh-CN"/>
        </w:rPr>
        <w:fldChar w:fldCharType="separate"/>
      </w:r>
      <w:r>
        <w:rPr>
          <w:rFonts w:hint="eastAsia" w:cs="仿宋"/>
          <w:color w:val="auto"/>
          <w:sz w:val="24"/>
          <w:szCs w:val="21"/>
        </w:rPr>
        <w:t>（</w:t>
      </w:r>
      <w:r>
        <w:rPr>
          <w:rFonts w:hint="eastAsia" w:cs="仿宋"/>
          <w:color w:val="auto"/>
          <w:sz w:val="24"/>
          <w:szCs w:val="21"/>
          <w:lang w:val="en-US" w:eastAsia="zh-CN"/>
        </w:rPr>
        <w:t>二</w:t>
      </w:r>
      <w:r>
        <w:rPr>
          <w:rFonts w:hint="eastAsia" w:cs="仿宋"/>
          <w:color w:val="auto"/>
          <w:sz w:val="24"/>
          <w:szCs w:val="21"/>
        </w:rPr>
        <w:t>）项目绩效目标</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_Toc23956 \h </w:instrText>
      </w:r>
      <w:r>
        <w:rPr>
          <w:rFonts w:hint="eastAsia" w:cs="仿宋"/>
          <w:color w:val="auto"/>
          <w:sz w:val="24"/>
          <w:szCs w:val="21"/>
        </w:rPr>
        <w:fldChar w:fldCharType="separate"/>
      </w:r>
      <w:r>
        <w:rPr>
          <w:rFonts w:hint="eastAsia" w:cs="仿宋"/>
          <w:color w:val="auto"/>
          <w:sz w:val="24"/>
          <w:szCs w:val="21"/>
        </w:rPr>
        <w:t>3</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_Toc8768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1.项目总体目标</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_Toc8768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3</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_Toc12416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2.项目阶段性目标</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_Toc12416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3</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_Toc30313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二、绩效评价工作开展情况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_Toc30313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_Toc614 </w:instrText>
      </w:r>
      <w:r>
        <w:rPr>
          <w:rFonts w:hint="eastAsia" w:cs="仿宋"/>
          <w:bCs/>
          <w:color w:val="auto"/>
          <w:sz w:val="24"/>
          <w:lang w:val="zh-CN"/>
        </w:rPr>
        <w:fldChar w:fldCharType="separate"/>
      </w:r>
      <w:r>
        <w:rPr>
          <w:rFonts w:hint="eastAsia" w:cs="仿宋"/>
          <w:color w:val="auto"/>
          <w:sz w:val="24"/>
          <w:szCs w:val="21"/>
        </w:rPr>
        <w:t>（一）绩效评价目的、对象和范围</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_Toc614 \h </w:instrText>
      </w:r>
      <w:r>
        <w:rPr>
          <w:rFonts w:hint="eastAsia" w:cs="仿宋"/>
          <w:color w:val="auto"/>
          <w:sz w:val="24"/>
          <w:szCs w:val="21"/>
        </w:rPr>
        <w:fldChar w:fldCharType="separate"/>
      </w:r>
      <w:r>
        <w:rPr>
          <w:rFonts w:hint="eastAsia" w:cs="仿宋"/>
          <w:color w:val="auto"/>
          <w:sz w:val="24"/>
          <w:szCs w:val="21"/>
        </w:rPr>
        <w:t>4</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_Toc30263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1.评价目的</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_Toc30263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_Toc151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2.评价对象</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_Toc151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_Toc26734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3.评价范围</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_Toc26734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_Toc12982 </w:instrText>
      </w:r>
      <w:r>
        <w:rPr>
          <w:rFonts w:hint="eastAsia" w:cs="仿宋"/>
          <w:bCs/>
          <w:color w:val="auto"/>
          <w:sz w:val="24"/>
          <w:lang w:val="zh-CN"/>
        </w:rPr>
        <w:fldChar w:fldCharType="separate"/>
      </w:r>
      <w:r>
        <w:rPr>
          <w:rFonts w:hint="eastAsia" w:cs="仿宋"/>
          <w:color w:val="auto"/>
          <w:sz w:val="24"/>
          <w:szCs w:val="21"/>
        </w:rPr>
        <w:t>（二）绩效评价原则、评价指标体系、评价方法、评价标准等</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_Toc12982 \h </w:instrText>
      </w:r>
      <w:r>
        <w:rPr>
          <w:rFonts w:hint="eastAsia" w:cs="仿宋"/>
          <w:color w:val="auto"/>
          <w:sz w:val="24"/>
          <w:szCs w:val="21"/>
        </w:rPr>
        <w:fldChar w:fldCharType="separate"/>
      </w:r>
      <w:r>
        <w:rPr>
          <w:rFonts w:hint="eastAsia" w:cs="仿宋"/>
          <w:color w:val="auto"/>
          <w:sz w:val="24"/>
          <w:szCs w:val="21"/>
        </w:rPr>
        <w:t>4</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_Toc19042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1.评价原则</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_Toc19042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_Toc27646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2.评价指标体系</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_Toc27646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5</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_Toc10426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3.评价方法</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_Toc10426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6</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_Toc15239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4.评价标准</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_Toc15239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6</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_Toc24333 </w:instrText>
      </w:r>
      <w:r>
        <w:rPr>
          <w:rFonts w:hint="eastAsia" w:cs="仿宋"/>
          <w:bCs/>
          <w:color w:val="auto"/>
          <w:sz w:val="24"/>
          <w:lang w:val="zh-CN"/>
        </w:rPr>
        <w:fldChar w:fldCharType="separate"/>
      </w:r>
      <w:r>
        <w:rPr>
          <w:rFonts w:hint="eastAsia" w:cs="仿宋"/>
          <w:color w:val="auto"/>
          <w:sz w:val="24"/>
          <w:szCs w:val="21"/>
        </w:rPr>
        <w:t>（三）绩效评价工作过程</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_Toc24333 \h </w:instrText>
      </w:r>
      <w:r>
        <w:rPr>
          <w:rFonts w:hint="eastAsia" w:cs="仿宋"/>
          <w:color w:val="auto"/>
          <w:sz w:val="24"/>
          <w:szCs w:val="21"/>
        </w:rPr>
        <w:fldChar w:fldCharType="separate"/>
      </w:r>
      <w:r>
        <w:rPr>
          <w:rFonts w:hint="eastAsia" w:cs="仿宋"/>
          <w:color w:val="auto"/>
          <w:sz w:val="24"/>
          <w:szCs w:val="21"/>
        </w:rPr>
        <w:t>6</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_Toc31717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1.组建评价工作组、遴选专家</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_Toc31717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6</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_Toc32147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2.现场调研、收集资料</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_Toc32147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6</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_Toc25753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3.研究制定指标体系</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_Toc25753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7</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_Toc19784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4.筹备和召开专家评价会</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_Toc19784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7</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_Toc21545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5.撰写绩效评价报告</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_Toc21545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7</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_Toc28204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三、综合评价情况及评价结论</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_Toc28204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7</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_Toc32733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四、绩效评价指标分析</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_Toc32733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8</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_Toc10380 </w:instrText>
      </w:r>
      <w:r>
        <w:rPr>
          <w:rFonts w:hint="eastAsia" w:cs="仿宋"/>
          <w:bCs/>
          <w:color w:val="auto"/>
          <w:sz w:val="24"/>
          <w:lang w:val="zh-CN"/>
        </w:rPr>
        <w:fldChar w:fldCharType="separate"/>
      </w:r>
      <w:r>
        <w:rPr>
          <w:rFonts w:hint="eastAsia" w:cs="仿宋"/>
          <w:color w:val="auto"/>
          <w:sz w:val="24"/>
          <w:szCs w:val="21"/>
        </w:rPr>
        <w:t>（一）项目决策情况</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_Toc10380 \h </w:instrText>
      </w:r>
      <w:r>
        <w:rPr>
          <w:rFonts w:hint="eastAsia" w:cs="仿宋"/>
          <w:color w:val="auto"/>
          <w:sz w:val="24"/>
          <w:szCs w:val="21"/>
        </w:rPr>
        <w:fldChar w:fldCharType="separate"/>
      </w:r>
      <w:r>
        <w:rPr>
          <w:rFonts w:hint="eastAsia" w:cs="仿宋"/>
          <w:color w:val="auto"/>
          <w:sz w:val="24"/>
          <w:szCs w:val="21"/>
        </w:rPr>
        <w:t>8</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_Toc24173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1.立项依据充分性</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_Toc24173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8</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_Toc4462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2.立项程序规范性</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_Toc4462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8</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_Toc3371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 目标合理性分析</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_Toc3371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8</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_Toc25505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4.目标明确性分析</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_Toc25505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8</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_Toc11116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5.资金投入情况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_Toc11116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9</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_Toc14840 </w:instrText>
      </w:r>
      <w:r>
        <w:rPr>
          <w:rFonts w:hint="eastAsia" w:cs="仿宋"/>
          <w:bCs/>
          <w:color w:val="auto"/>
          <w:sz w:val="24"/>
          <w:lang w:val="zh-CN"/>
        </w:rPr>
        <w:fldChar w:fldCharType="separate"/>
      </w:r>
      <w:r>
        <w:rPr>
          <w:rFonts w:hint="eastAsia" w:cs="仿宋"/>
          <w:color w:val="auto"/>
          <w:sz w:val="24"/>
          <w:szCs w:val="21"/>
        </w:rPr>
        <w:t>（二）项目过程情况</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_Toc14840 \h </w:instrText>
      </w:r>
      <w:r>
        <w:rPr>
          <w:rFonts w:hint="eastAsia" w:cs="仿宋"/>
          <w:color w:val="auto"/>
          <w:sz w:val="24"/>
          <w:szCs w:val="21"/>
        </w:rPr>
        <w:fldChar w:fldCharType="separate"/>
      </w:r>
      <w:r>
        <w:rPr>
          <w:rFonts w:hint="eastAsia" w:cs="仿宋"/>
          <w:color w:val="auto"/>
          <w:sz w:val="24"/>
          <w:szCs w:val="21"/>
        </w:rPr>
        <w:t>9</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_Toc17975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1.资金管理情况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_Toc17975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9</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_Toc31934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2.组织实施情况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_Toc31934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10</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_Toc32397 </w:instrText>
      </w:r>
      <w:r>
        <w:rPr>
          <w:rFonts w:hint="eastAsia" w:cs="仿宋"/>
          <w:bCs/>
          <w:color w:val="auto"/>
          <w:sz w:val="24"/>
          <w:lang w:val="zh-CN"/>
        </w:rPr>
        <w:fldChar w:fldCharType="separate"/>
      </w:r>
      <w:r>
        <w:rPr>
          <w:rFonts w:hint="eastAsia" w:cs="仿宋"/>
          <w:color w:val="auto"/>
          <w:kern w:val="44"/>
          <w:sz w:val="24"/>
          <w:szCs w:val="24"/>
        </w:rPr>
        <w:t>（三）项目产出情况</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_Toc32397 \h </w:instrText>
      </w:r>
      <w:r>
        <w:rPr>
          <w:rFonts w:hint="eastAsia" w:cs="仿宋"/>
          <w:color w:val="auto"/>
          <w:sz w:val="24"/>
          <w:szCs w:val="21"/>
        </w:rPr>
        <w:fldChar w:fldCharType="separate"/>
      </w:r>
      <w:r>
        <w:rPr>
          <w:rFonts w:hint="eastAsia" w:cs="仿宋"/>
          <w:color w:val="auto"/>
          <w:sz w:val="24"/>
          <w:szCs w:val="21"/>
        </w:rPr>
        <w:t>11</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_Toc9061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1.项目产出数量完成情况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_Toc9061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11</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_Toc9922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2.项目完成质量完成情况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_Toc9922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11</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_Toc13555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3.时效指标完成情况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_Toc13555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11</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_Toc14265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4.项目产出成本完成情况</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_Toc14265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11</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_Toc1229 </w:instrText>
      </w:r>
      <w:r>
        <w:rPr>
          <w:rFonts w:hint="eastAsia" w:cs="仿宋"/>
          <w:bCs/>
          <w:color w:val="auto"/>
          <w:sz w:val="24"/>
          <w:lang w:val="zh-CN"/>
        </w:rPr>
        <w:fldChar w:fldCharType="separate"/>
      </w:r>
      <w:r>
        <w:rPr>
          <w:rFonts w:hint="eastAsia" w:cs="仿宋"/>
          <w:color w:val="auto"/>
          <w:sz w:val="24"/>
          <w:szCs w:val="21"/>
        </w:rPr>
        <w:t>（四）项目效益情况</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_Toc1229 \h </w:instrText>
      </w:r>
      <w:r>
        <w:rPr>
          <w:rFonts w:hint="eastAsia" w:cs="仿宋"/>
          <w:color w:val="auto"/>
          <w:sz w:val="24"/>
          <w:szCs w:val="21"/>
        </w:rPr>
        <w:fldChar w:fldCharType="separate"/>
      </w:r>
      <w:r>
        <w:rPr>
          <w:rFonts w:hint="eastAsia" w:cs="仿宋"/>
          <w:color w:val="auto"/>
          <w:sz w:val="24"/>
          <w:szCs w:val="21"/>
        </w:rPr>
        <w:t>12</w:t>
      </w:r>
      <w:r>
        <w:rPr>
          <w:rFonts w:hint="eastAsia" w:cs="仿宋"/>
          <w:color w:val="auto"/>
          <w:sz w:val="24"/>
          <w:szCs w:val="21"/>
        </w:rPr>
        <w:fldChar w:fldCharType="end"/>
      </w:r>
      <w:r>
        <w:rPr>
          <w:rFonts w:hint="eastAsia"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_Toc17677 </w:instrText>
      </w:r>
      <w:r>
        <w:rPr>
          <w:rFonts w:hint="eastAsia" w:ascii="仿宋" w:hAnsi="仿宋" w:eastAsia="仿宋" w:cs="仿宋"/>
          <w:bCs/>
          <w:color w:val="auto"/>
          <w:sz w:val="24"/>
          <w:lang w:val="zh-CN"/>
        </w:rPr>
        <w:fldChar w:fldCharType="separate"/>
      </w:r>
      <w:r>
        <w:rPr>
          <w:rFonts w:hint="eastAsia" w:ascii="仿宋" w:hAnsi="仿宋" w:eastAsia="仿宋" w:cs="仿宋"/>
          <w:bCs/>
          <w:color w:val="auto"/>
          <w:sz w:val="24"/>
          <w:szCs w:val="21"/>
        </w:rPr>
        <w:t>1.社会效益以及可持续影响</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_Toc17677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12</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9"/>
        <w:tabs>
          <w:tab w:val="right" w:leader="dot" w:pos="8306"/>
        </w:tabs>
        <w:spacing w:line="360" w:lineRule="auto"/>
        <w:ind w:left="1120"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_Toc22212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2.服务对象满意度</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_Toc22212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12</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_Toc3945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五、存在的问题</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_Toc3945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13</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_Toc11406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六、有关建议</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_Toc11406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13</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3"/>
        <w:tabs>
          <w:tab w:val="right" w:leader="dot" w:pos="8306"/>
          <w:tab w:val="clear" w:pos="8296"/>
        </w:tabs>
        <w:ind w:firstLine="0" w:firstLineChars="0"/>
        <w:rPr>
          <w:rFonts w:hint="eastAsia" w:ascii="仿宋" w:hAnsi="仿宋" w:eastAsia="仿宋" w:cs="仿宋"/>
          <w:color w:val="auto"/>
          <w:sz w:val="24"/>
          <w:szCs w:val="21"/>
        </w:rPr>
      </w:pPr>
      <w:r>
        <w:rPr>
          <w:rFonts w:hint="eastAsia" w:ascii="仿宋" w:hAnsi="仿宋" w:eastAsia="仿宋" w:cs="仿宋"/>
          <w:bCs/>
          <w:color w:val="auto"/>
          <w:sz w:val="24"/>
          <w:lang w:val="zh-CN"/>
        </w:rPr>
        <w:fldChar w:fldCharType="begin"/>
      </w:r>
      <w:r>
        <w:rPr>
          <w:rFonts w:hint="eastAsia" w:ascii="仿宋" w:hAnsi="仿宋" w:eastAsia="仿宋" w:cs="仿宋"/>
          <w:bCs/>
          <w:color w:val="auto"/>
          <w:sz w:val="24"/>
          <w:lang w:val="zh-CN"/>
        </w:rPr>
        <w:instrText xml:space="preserve"> HYPERLINK \l _Toc3731 </w:instrText>
      </w:r>
      <w:r>
        <w:rPr>
          <w:rFonts w:hint="eastAsia" w:ascii="仿宋" w:hAnsi="仿宋" w:eastAsia="仿宋" w:cs="仿宋"/>
          <w:bCs/>
          <w:color w:val="auto"/>
          <w:sz w:val="24"/>
          <w:lang w:val="zh-CN"/>
        </w:rPr>
        <w:fldChar w:fldCharType="separate"/>
      </w:r>
      <w:r>
        <w:rPr>
          <w:rFonts w:hint="eastAsia" w:ascii="仿宋" w:hAnsi="仿宋" w:eastAsia="仿宋" w:cs="仿宋"/>
          <w:color w:val="auto"/>
          <w:sz w:val="24"/>
          <w:szCs w:val="21"/>
        </w:rPr>
        <w:t>七、附件</w:t>
      </w:r>
      <w:r>
        <w:rPr>
          <w:rFonts w:hint="eastAsia" w:ascii="仿宋" w:hAnsi="仿宋" w:eastAsia="仿宋" w:cs="仿宋"/>
          <w:color w:val="auto"/>
          <w:sz w:val="24"/>
          <w:szCs w:val="21"/>
        </w:rPr>
        <w:tab/>
      </w:r>
      <w:r>
        <w:rPr>
          <w:rFonts w:hint="eastAsia" w:ascii="仿宋" w:hAnsi="仿宋" w:eastAsia="仿宋" w:cs="仿宋"/>
          <w:color w:val="auto"/>
          <w:sz w:val="24"/>
          <w:szCs w:val="21"/>
        </w:rPr>
        <w:fldChar w:fldCharType="begin"/>
      </w:r>
      <w:r>
        <w:rPr>
          <w:rFonts w:hint="eastAsia" w:ascii="仿宋" w:hAnsi="仿宋" w:eastAsia="仿宋" w:cs="仿宋"/>
          <w:color w:val="auto"/>
          <w:sz w:val="24"/>
          <w:szCs w:val="21"/>
        </w:rPr>
        <w:instrText xml:space="preserve"> PAGEREF _Toc3731 \h </w:instrText>
      </w:r>
      <w:r>
        <w:rPr>
          <w:rFonts w:hint="eastAsia" w:ascii="仿宋" w:hAnsi="仿宋" w:eastAsia="仿宋" w:cs="仿宋"/>
          <w:color w:val="auto"/>
          <w:sz w:val="24"/>
          <w:szCs w:val="21"/>
        </w:rPr>
        <w:fldChar w:fldCharType="separate"/>
      </w:r>
      <w:r>
        <w:rPr>
          <w:rFonts w:hint="eastAsia" w:ascii="仿宋" w:hAnsi="仿宋" w:eastAsia="仿宋" w:cs="仿宋"/>
          <w:color w:val="auto"/>
          <w:sz w:val="24"/>
          <w:szCs w:val="21"/>
        </w:rPr>
        <w:t>14</w:t>
      </w:r>
      <w:r>
        <w:rPr>
          <w:rFonts w:hint="eastAsia" w:ascii="仿宋" w:hAnsi="仿宋" w:eastAsia="仿宋" w:cs="仿宋"/>
          <w:color w:val="auto"/>
          <w:sz w:val="24"/>
          <w:szCs w:val="21"/>
        </w:rPr>
        <w:fldChar w:fldCharType="end"/>
      </w:r>
      <w:r>
        <w:rPr>
          <w:rFonts w:hint="eastAsia" w:ascii="仿宋" w:hAnsi="仿宋" w:eastAsia="仿宋" w:cs="仿宋"/>
          <w:bCs/>
          <w:color w:val="auto"/>
          <w:sz w:val="24"/>
          <w:lang w:val="zh-CN"/>
        </w:rPr>
        <w:fldChar w:fldCharType="end"/>
      </w:r>
    </w:p>
    <w:p>
      <w:pPr>
        <w:pStyle w:val="15"/>
        <w:tabs>
          <w:tab w:val="right" w:leader="dot" w:pos="8306"/>
          <w:tab w:val="clear" w:pos="8296"/>
        </w:tabs>
        <w:spacing w:line="360" w:lineRule="auto"/>
        <w:ind w:firstLine="0" w:firstLineChars="0"/>
        <w:rPr>
          <w:rFonts w:hint="eastAsia" w:cs="仿宋"/>
          <w:color w:val="auto"/>
          <w:sz w:val="24"/>
          <w:szCs w:val="21"/>
        </w:rPr>
      </w:pPr>
      <w:r>
        <w:rPr>
          <w:rFonts w:hint="eastAsia" w:cs="仿宋"/>
          <w:bCs/>
          <w:color w:val="auto"/>
          <w:sz w:val="24"/>
          <w:lang w:val="zh-CN"/>
        </w:rPr>
        <w:fldChar w:fldCharType="begin"/>
      </w:r>
      <w:r>
        <w:rPr>
          <w:rFonts w:hint="eastAsia" w:cs="仿宋"/>
          <w:bCs/>
          <w:color w:val="auto"/>
          <w:sz w:val="24"/>
          <w:lang w:val="zh-CN"/>
        </w:rPr>
        <w:instrText xml:space="preserve"> HYPERLINK \l _Toc20503 </w:instrText>
      </w:r>
      <w:r>
        <w:rPr>
          <w:rFonts w:hint="eastAsia" w:cs="仿宋"/>
          <w:bCs/>
          <w:color w:val="auto"/>
          <w:sz w:val="24"/>
          <w:lang w:val="zh-CN"/>
        </w:rPr>
        <w:fldChar w:fldCharType="separate"/>
      </w:r>
      <w:r>
        <w:rPr>
          <w:rFonts w:hint="eastAsia" w:cs="仿宋"/>
          <w:color w:val="auto"/>
          <w:sz w:val="24"/>
          <w:szCs w:val="24"/>
        </w:rPr>
        <w:t>附件1：项目预算执行情况表</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_Toc20503 \h </w:instrText>
      </w:r>
      <w:r>
        <w:rPr>
          <w:rFonts w:hint="eastAsia" w:cs="仿宋"/>
          <w:color w:val="auto"/>
          <w:sz w:val="24"/>
          <w:szCs w:val="21"/>
        </w:rPr>
        <w:fldChar w:fldCharType="separate"/>
      </w:r>
      <w:r>
        <w:rPr>
          <w:rFonts w:hint="eastAsia" w:cs="仿宋"/>
          <w:color w:val="auto"/>
          <w:sz w:val="24"/>
          <w:szCs w:val="21"/>
        </w:rPr>
        <w:t>15</w:t>
      </w:r>
      <w:r>
        <w:rPr>
          <w:rFonts w:hint="eastAsia" w:cs="仿宋"/>
          <w:color w:val="auto"/>
          <w:sz w:val="24"/>
          <w:szCs w:val="21"/>
        </w:rPr>
        <w:fldChar w:fldCharType="end"/>
      </w:r>
      <w:r>
        <w:rPr>
          <w:rFonts w:hint="eastAsia" w:cs="仿宋"/>
          <w:bCs/>
          <w:color w:val="auto"/>
          <w:sz w:val="24"/>
          <w:lang w:val="zh-CN"/>
        </w:rPr>
        <w:fldChar w:fldCharType="end"/>
      </w:r>
    </w:p>
    <w:p>
      <w:pPr>
        <w:pStyle w:val="15"/>
        <w:tabs>
          <w:tab w:val="right" w:leader="dot" w:pos="8306"/>
          <w:tab w:val="clear" w:pos="8296"/>
        </w:tabs>
        <w:spacing w:line="360" w:lineRule="auto"/>
        <w:ind w:firstLine="0" w:firstLineChars="0"/>
        <w:rPr>
          <w:color w:val="auto"/>
        </w:rPr>
      </w:pPr>
      <w:r>
        <w:rPr>
          <w:rFonts w:hint="eastAsia" w:cs="仿宋"/>
          <w:bCs/>
          <w:color w:val="auto"/>
          <w:sz w:val="24"/>
          <w:lang w:val="zh-CN"/>
        </w:rPr>
        <w:fldChar w:fldCharType="begin"/>
      </w:r>
      <w:r>
        <w:rPr>
          <w:rFonts w:hint="eastAsia" w:cs="仿宋"/>
          <w:bCs/>
          <w:color w:val="auto"/>
          <w:sz w:val="24"/>
          <w:lang w:val="zh-CN"/>
        </w:rPr>
        <w:instrText xml:space="preserve"> HYPERLINK \l _Toc22787 </w:instrText>
      </w:r>
      <w:r>
        <w:rPr>
          <w:rFonts w:hint="eastAsia" w:cs="仿宋"/>
          <w:bCs/>
          <w:color w:val="auto"/>
          <w:sz w:val="24"/>
          <w:lang w:val="zh-CN"/>
        </w:rPr>
        <w:fldChar w:fldCharType="separate"/>
      </w:r>
      <w:r>
        <w:rPr>
          <w:rFonts w:hint="eastAsia" w:cs="仿宋"/>
          <w:color w:val="auto"/>
          <w:sz w:val="24"/>
          <w:szCs w:val="24"/>
        </w:rPr>
        <w:t>附件2：项目绩效目标完成情况及收支明细表</w:t>
      </w:r>
      <w:r>
        <w:rPr>
          <w:rFonts w:hint="eastAsia" w:cs="仿宋"/>
          <w:color w:val="auto"/>
          <w:sz w:val="24"/>
          <w:szCs w:val="21"/>
        </w:rPr>
        <w:tab/>
      </w:r>
      <w:r>
        <w:rPr>
          <w:rFonts w:hint="eastAsia" w:cs="仿宋"/>
          <w:color w:val="auto"/>
          <w:sz w:val="24"/>
          <w:szCs w:val="21"/>
        </w:rPr>
        <w:fldChar w:fldCharType="begin"/>
      </w:r>
      <w:r>
        <w:rPr>
          <w:rFonts w:hint="eastAsia" w:cs="仿宋"/>
          <w:color w:val="auto"/>
          <w:sz w:val="24"/>
          <w:szCs w:val="21"/>
        </w:rPr>
        <w:instrText xml:space="preserve"> PAGEREF _Toc22787 \h </w:instrText>
      </w:r>
      <w:r>
        <w:rPr>
          <w:rFonts w:hint="eastAsia" w:cs="仿宋"/>
          <w:color w:val="auto"/>
          <w:sz w:val="24"/>
          <w:szCs w:val="21"/>
        </w:rPr>
        <w:fldChar w:fldCharType="separate"/>
      </w:r>
      <w:r>
        <w:rPr>
          <w:rFonts w:hint="eastAsia" w:cs="仿宋"/>
          <w:color w:val="auto"/>
          <w:sz w:val="24"/>
          <w:szCs w:val="21"/>
        </w:rPr>
        <w:t>16</w:t>
      </w:r>
      <w:r>
        <w:rPr>
          <w:rFonts w:hint="eastAsia" w:cs="仿宋"/>
          <w:color w:val="auto"/>
          <w:sz w:val="24"/>
          <w:szCs w:val="21"/>
        </w:rPr>
        <w:fldChar w:fldCharType="end"/>
      </w:r>
      <w:r>
        <w:rPr>
          <w:rFonts w:hint="eastAsia" w:cs="仿宋"/>
          <w:bCs/>
          <w:color w:val="auto"/>
          <w:sz w:val="24"/>
          <w:lang w:val="zh-CN"/>
        </w:rPr>
        <w:fldChar w:fldCharType="end"/>
      </w:r>
    </w:p>
    <w:p>
      <w:pPr>
        <w:spacing w:line="360" w:lineRule="auto"/>
        <w:ind w:firstLine="0" w:firstLineChars="0"/>
        <w:jc w:val="center"/>
        <w:rPr>
          <w:rFonts w:ascii="仿宋" w:hAnsi="仿宋" w:eastAsia="仿宋"/>
          <w:color w:val="auto"/>
          <w:szCs w:val="28"/>
        </w:rPr>
      </w:pPr>
      <w:r>
        <w:rPr>
          <w:rFonts w:hint="eastAsia" w:ascii="仿宋" w:hAnsi="仿宋" w:eastAsia="仿宋" w:cs="仿宋"/>
          <w:bCs/>
          <w:color w:val="auto"/>
          <w:szCs w:val="24"/>
          <w:lang w:val="zh-CN"/>
        </w:rPr>
        <w:fldChar w:fldCharType="end"/>
      </w:r>
    </w:p>
    <w:p>
      <w:pPr>
        <w:spacing w:line="360" w:lineRule="auto"/>
        <w:ind w:firstLine="0" w:firstLineChars="0"/>
        <w:jc w:val="center"/>
        <w:rPr>
          <w:rFonts w:hint="eastAsia" w:ascii="仿宋" w:hAnsi="仿宋" w:eastAsia="仿宋"/>
          <w:color w:val="auto"/>
          <w:sz w:val="40"/>
          <w:szCs w:val="40"/>
        </w:rPr>
        <w:sectPr>
          <w:footerReference r:id="rId11" w:type="default"/>
          <w:pgSz w:w="11906" w:h="16838"/>
          <w:pgMar w:top="1440" w:right="1800" w:bottom="1440" w:left="1800" w:header="851" w:footer="992" w:gutter="0"/>
          <w:pgNumType w:start="1"/>
          <w:cols w:space="720" w:num="1"/>
          <w:docGrid w:type="lines" w:linePitch="312" w:charSpace="0"/>
        </w:sectPr>
      </w:pPr>
    </w:p>
    <w:bookmarkEnd w:id="0"/>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1" w:name="_Toc31985"/>
      <w:r>
        <w:rPr>
          <w:rFonts w:hint="eastAsia"/>
          <w:color w:val="auto"/>
        </w:rPr>
        <w:t>一、项目基本情况</w:t>
      </w:r>
      <w:bookmarkEnd w:id="1"/>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2" w:name="_Toc25291"/>
      <w:r>
        <w:rPr>
          <w:rFonts w:hint="eastAsia"/>
          <w:color w:val="auto"/>
        </w:rPr>
        <w:t>（一）项目概况</w:t>
      </w:r>
      <w:bookmarkEnd w:id="2"/>
    </w:p>
    <w:p>
      <w:pPr>
        <w:pStyle w:val="5"/>
        <w:pageBreakBefore w:val="0"/>
        <w:kinsoku/>
        <w:wordWrap/>
        <w:overflowPunct/>
        <w:topLinePunct w:val="0"/>
        <w:autoSpaceDE/>
        <w:autoSpaceDN/>
        <w:bidi w:val="0"/>
        <w:adjustRightInd/>
        <w:snapToGrid/>
        <w:spacing w:line="520" w:lineRule="exact"/>
        <w:ind w:firstLine="560"/>
        <w:textAlignment w:val="auto"/>
        <w:rPr>
          <w:rFonts w:hint="eastAsia" w:ascii="仿宋" w:hAnsi="仿宋"/>
          <w:bCs w:val="0"/>
          <w:color w:val="auto"/>
          <w:kern w:val="44"/>
          <w:szCs w:val="28"/>
        </w:rPr>
      </w:pPr>
      <w:bookmarkStart w:id="3" w:name="_Toc17555"/>
      <w:r>
        <w:rPr>
          <w:rFonts w:hint="eastAsia" w:ascii="仿宋" w:hAnsi="仿宋"/>
          <w:bCs w:val="0"/>
          <w:color w:val="auto"/>
          <w:kern w:val="44"/>
          <w:szCs w:val="28"/>
        </w:rPr>
        <w:t>1.项目背景</w:t>
      </w:r>
      <w:bookmarkEnd w:id="3"/>
    </w:p>
    <w:p>
      <w:pPr>
        <w:pageBreakBefore w:val="0"/>
        <w:kinsoku/>
        <w:wordWrap/>
        <w:overflowPunct/>
        <w:topLinePunct w:val="0"/>
        <w:autoSpaceDE/>
        <w:autoSpaceDN/>
        <w:bidi w:val="0"/>
        <w:adjustRightInd/>
        <w:snapToGrid/>
        <w:spacing w:line="520" w:lineRule="exact"/>
        <w:ind w:firstLine="560"/>
        <w:textAlignment w:val="auto"/>
        <w:rPr>
          <w:color w:val="auto"/>
        </w:rPr>
      </w:pPr>
      <w:r>
        <w:rPr>
          <w:rFonts w:hint="eastAsia"/>
          <w:color w:val="auto"/>
        </w:rPr>
        <w:t>北京市百姓宣讲自2009年创立至今，已经成为北京市宣传思想工作的</w:t>
      </w:r>
      <w:r>
        <w:rPr>
          <w:rFonts w:hint="eastAsia"/>
        </w:rPr>
        <w:t>金字招</w:t>
      </w:r>
      <w:r>
        <w:rPr>
          <w:rFonts w:hint="eastAsia"/>
          <w:color w:val="auto"/>
        </w:rPr>
        <w:t>牌，成为首都弘扬社会主义核心价值观的重要抓手，在弘扬主旋律、传播正能量方面发挥着重要作用，被中宣部作为宣传思想工作典型案例向全国推广。全市已经建立了市、区、街道（乡镇）、社区（村）四级宣讲体系，现有各级各类宣讲团5300多支，在册宣讲员6.5万余人，开展各类百姓宣讲活动3万余场，受众覆盖面达3亿人次。</w:t>
      </w:r>
    </w:p>
    <w:p>
      <w:pPr>
        <w:pageBreakBefore w:val="0"/>
        <w:kinsoku/>
        <w:wordWrap/>
        <w:overflowPunct/>
        <w:topLinePunct w:val="0"/>
        <w:autoSpaceDE/>
        <w:autoSpaceDN/>
        <w:bidi w:val="0"/>
        <w:adjustRightInd/>
        <w:snapToGrid/>
        <w:spacing w:line="520" w:lineRule="exact"/>
        <w:ind w:firstLine="560"/>
        <w:textAlignment w:val="auto"/>
        <w:outlineLvl w:val="2"/>
        <w:rPr>
          <w:rFonts w:hint="eastAsia" w:ascii="仿宋" w:hAnsi="仿宋" w:eastAsia="仿宋"/>
          <w:color w:val="auto"/>
          <w:kern w:val="44"/>
          <w:szCs w:val="28"/>
        </w:rPr>
      </w:pPr>
      <w:bookmarkStart w:id="4" w:name="_Toc25704"/>
      <w:r>
        <w:rPr>
          <w:rFonts w:hint="eastAsia" w:ascii="仿宋" w:hAnsi="仿宋" w:eastAsia="仿宋"/>
          <w:color w:val="auto"/>
          <w:kern w:val="44"/>
          <w:szCs w:val="28"/>
        </w:rPr>
        <w:t>2.项目主要内容及实施情况</w:t>
      </w:r>
      <w:bookmarkEnd w:id="4"/>
    </w:p>
    <w:p>
      <w:pPr>
        <w:spacing w:line="520" w:lineRule="exact"/>
        <w:ind w:firstLine="560"/>
        <w:rPr>
          <w:rFonts w:hint="eastAsia" w:ascii="仿宋" w:hAnsi="仿宋" w:eastAsia="仿宋"/>
          <w:bCs/>
          <w:kern w:val="44"/>
          <w:szCs w:val="28"/>
        </w:rPr>
      </w:pPr>
      <w:bookmarkStart w:id="5" w:name="_Toc30672"/>
      <w:r>
        <w:rPr>
          <w:rFonts w:hint="eastAsia" w:ascii="仿宋" w:hAnsi="仿宋" w:eastAsia="仿宋" w:cs="仿宋_GB2312"/>
          <w:szCs w:val="28"/>
        </w:rPr>
        <w:t>主要内容：继续</w:t>
      </w:r>
      <w:r>
        <w:rPr>
          <w:rFonts w:hint="eastAsia" w:ascii="仿宋" w:hAnsi="仿宋" w:eastAsia="仿宋"/>
          <w:bCs/>
          <w:kern w:val="44"/>
          <w:szCs w:val="28"/>
        </w:rPr>
        <w:t>以“学习宣传贯彻党的二十大精神‘强国复兴有我’”为主题主线组织全市百姓宣讲。（1）组建“强国复兴有我”百姓宣讲市级示范团。（2）组建“北京市学习贯彻习近平新时代中国特色社会主义思想”百姓宣讲团。（3）组织全市年度调研汇讲。（4）评选优秀短视频、编辑出版《身边的正能量-2022年北京市百姓宣讲优秀作品集》。（5）完善网络矩阵建设。</w:t>
      </w:r>
    </w:p>
    <w:p>
      <w:pPr>
        <w:spacing w:line="520" w:lineRule="exact"/>
        <w:ind w:firstLine="560"/>
        <w:rPr>
          <w:rFonts w:hint="eastAsia" w:ascii="仿宋" w:hAnsi="仿宋" w:eastAsia="仿宋"/>
          <w:bCs/>
          <w:kern w:val="44"/>
          <w:szCs w:val="28"/>
        </w:rPr>
      </w:pPr>
      <w:r>
        <w:rPr>
          <w:rFonts w:hint="eastAsia" w:ascii="仿宋" w:hAnsi="仿宋" w:eastAsia="仿宋"/>
          <w:bCs/>
          <w:kern w:val="44"/>
          <w:szCs w:val="28"/>
        </w:rPr>
        <w:t>实施情况：精心组建“启航新征程”“建功新时代”“强国复兴有我”等百姓宣讲市级示范团，推进习近平新时代中国特色社会主义思想主题教育走深走实、入脑入心、见行见效，全年开展226场示范宣讲，线上线下参与受众3183万人次。统筹市、区（工委）、街道（乡镇）、社区（村）四级百姓宣讲体系，指导全市共开展各级百姓宣讲活动9517场，线上线下受众达701.8万人次。强化队伍建设，举办百姓宣讲骨干培训班和培训市级宣讲员200人次；固化宣讲成果，出版《身边的正能量》优秀作品集2600册。加强立体传播，持续推动北京宣讲微信公众号、新浪官方微博运营工作，运行情况良好。</w:t>
      </w:r>
    </w:p>
    <w:p>
      <w:pPr>
        <w:spacing w:line="520" w:lineRule="exact"/>
        <w:ind w:firstLine="560"/>
        <w:rPr>
          <w:color w:val="auto"/>
        </w:rPr>
      </w:pPr>
      <w:r>
        <w:rPr>
          <w:rFonts w:hint="eastAsia"/>
          <w:color w:val="auto"/>
        </w:rPr>
        <w:t>3.项目资金投入和使用情况</w:t>
      </w:r>
      <w:bookmarkEnd w:id="5"/>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Cs w:val="28"/>
        </w:rPr>
      </w:pPr>
      <w:bookmarkStart w:id="6" w:name="_Toc462328078"/>
      <w:r>
        <w:rPr>
          <w:rFonts w:hint="eastAsia" w:ascii="仿宋" w:hAnsi="仿宋" w:eastAsia="仿宋" w:cs="仿宋"/>
          <w:color w:val="auto"/>
          <w:szCs w:val="28"/>
          <w:lang w:val="en-US" w:eastAsia="zh-CN"/>
        </w:rPr>
        <w:t>2023年</w:t>
      </w:r>
      <w:r>
        <w:rPr>
          <w:rFonts w:hint="eastAsia" w:ascii="仿宋" w:hAnsi="仿宋" w:eastAsia="仿宋" w:cs="仿宋"/>
          <w:color w:val="auto"/>
          <w:szCs w:val="28"/>
        </w:rPr>
        <w:t>“百姓宣讲活动”项目共申请资金292.99万元，预算批复292.99万元，全部为财政拨款，资金到位292.99万元。截至2023年12月31日，项目实际支出资金280.052119万元，结余经费12.937881万元，预算执行率95.58%。其中：咨询费11.844758万元，委托业务费136.43万元，培训费54.985万元，劳务费24.24万元，租赁费11.9807万元，办公费14.4985万元，三类会议费15.0827万元，其他商品和服务支出10.990461万元。</w:t>
      </w:r>
    </w:p>
    <w:bookmarkEnd w:id="6"/>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7" w:name="_Toc23956"/>
      <w:r>
        <w:rPr>
          <w:rFonts w:hint="eastAsia"/>
          <w:color w:val="auto"/>
        </w:rPr>
        <w:t>（二）项目绩效目标</w:t>
      </w:r>
      <w:bookmarkEnd w:id="7"/>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8" w:name="_Toc8768"/>
      <w:r>
        <w:rPr>
          <w:rFonts w:hint="eastAsia"/>
          <w:color w:val="auto"/>
        </w:rPr>
        <w:t>1.项目总体目标</w:t>
      </w:r>
      <w:bookmarkEnd w:id="8"/>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s="宋体"/>
          <w:color w:val="auto"/>
          <w:kern w:val="0"/>
          <w:szCs w:val="28"/>
        </w:rPr>
        <w:t>为学习宣传贯彻习近平新时代中国特色社会主义思想和党的二十大精神，组建百姓宣讲团广泛开展百姓宣讲活动，市级宣讲团开启“线上云宣讲+线下面对面宣讲”新模式，预计宣讲覆盖面达500万人次以上。指导全市建立起市、区（工委）、街道（乡镇）、社区（村）四级百姓宣讲体系，深入宣讲习近平新时代中国特色社会主义思想，大力弘扬社会主义核心价值观，不断巩固壮大主流思想舆论，把党和政府的声音传播好，把当代社会主流展示好，把人民群众心声反映好，努力营造为实现中华民族伟大复兴的“中国梦”而不懈奋斗的良好社会氛围。加强小教员队伍，举办百姓宣讲骨干培训班，出版《身边的正能量》优秀作品集。</w:t>
      </w:r>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9" w:name="_Toc12416"/>
      <w:r>
        <w:rPr>
          <w:rFonts w:hint="eastAsia"/>
          <w:color w:val="auto"/>
        </w:rPr>
        <w:t>2.项目阶段性目标</w:t>
      </w:r>
      <w:bookmarkEnd w:id="9"/>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kern w:val="0"/>
          <w:szCs w:val="28"/>
        </w:rPr>
      </w:pPr>
      <w:r>
        <w:rPr>
          <w:rFonts w:hint="eastAsia" w:ascii="仿宋" w:hAnsi="仿宋" w:eastAsia="仿宋" w:cs="仿宋"/>
          <w:color w:val="auto"/>
          <w:kern w:val="0"/>
          <w:szCs w:val="28"/>
        </w:rPr>
        <w:t>（1）数量指标：举办各类主题百姓宣讲报告会≥120场；组建市级宣讲团培训市级宣讲员≥50人；出版《身边的正能量》作品集＝1500册；举办各类主题百姓宣讲报告会覆盖面≥300万人次。</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kern w:val="0"/>
          <w:szCs w:val="28"/>
        </w:rPr>
      </w:pPr>
      <w:r>
        <w:rPr>
          <w:rFonts w:hint="eastAsia" w:ascii="仿宋" w:hAnsi="仿宋" w:eastAsia="仿宋" w:cs="仿宋"/>
          <w:color w:val="auto"/>
          <w:kern w:val="0"/>
          <w:szCs w:val="28"/>
        </w:rPr>
        <w:t>（2）</w:t>
      </w:r>
      <w:r>
        <w:rPr>
          <w:rFonts w:hint="eastAsia" w:ascii="仿宋" w:hAnsi="仿宋" w:eastAsia="仿宋" w:cs="仿宋"/>
          <w:color w:val="auto"/>
        </w:rPr>
        <w:t>时效指标：组建市级宣讲团完成时间≤12月；举办各类主题百姓宣讲报告会完成时间≤12月。</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kern w:val="0"/>
          <w:szCs w:val="28"/>
        </w:rPr>
      </w:pPr>
      <w:r>
        <w:rPr>
          <w:rFonts w:hint="eastAsia" w:ascii="仿宋" w:hAnsi="仿宋" w:eastAsia="仿宋" w:cs="仿宋"/>
          <w:color w:val="auto"/>
          <w:kern w:val="0"/>
          <w:szCs w:val="28"/>
        </w:rPr>
        <w:t>（3）效益指标：引导、传播正能量，有效引领社会舆论环境</w:t>
      </w:r>
      <w:r>
        <w:rPr>
          <w:rFonts w:hint="eastAsia" w:ascii="仿宋" w:hAnsi="仿宋" w:eastAsia="仿宋" w:cs="仿宋"/>
          <w:color w:val="auto"/>
          <w:szCs w:val="28"/>
        </w:rPr>
        <w:t>。</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auto"/>
          <w:kern w:val="0"/>
          <w:szCs w:val="28"/>
        </w:rPr>
      </w:pPr>
      <w:r>
        <w:rPr>
          <w:rFonts w:hint="eastAsia" w:ascii="仿宋" w:hAnsi="仿宋" w:eastAsia="仿宋" w:cs="仿宋"/>
          <w:color w:val="auto"/>
          <w:kern w:val="0"/>
          <w:szCs w:val="28"/>
        </w:rPr>
        <w:t>（6）服务对象满意度：抽取调查的宣讲受众满意度≥90%。</w:t>
      </w:r>
    </w:p>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10" w:name="_Toc30313"/>
      <w:r>
        <w:rPr>
          <w:rFonts w:hint="eastAsia"/>
          <w:color w:val="auto"/>
        </w:rPr>
        <w:t>二、绩效评价工作开展情况</w:t>
      </w:r>
      <w:bookmarkEnd w:id="10"/>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11" w:name="_Toc614"/>
      <w:r>
        <w:rPr>
          <w:rFonts w:hint="eastAsia"/>
          <w:color w:val="auto"/>
        </w:rPr>
        <w:t>（一）绩效评价目的、对象和范围</w:t>
      </w:r>
      <w:bookmarkEnd w:id="11"/>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12" w:name="_Toc30263"/>
      <w:r>
        <w:rPr>
          <w:rFonts w:hint="eastAsia"/>
          <w:color w:val="auto"/>
        </w:rPr>
        <w:t>1.评价目的</w:t>
      </w:r>
      <w:bookmarkEnd w:id="12"/>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olor w:val="auto"/>
          <w:szCs w:val="28"/>
        </w:rPr>
      </w:pPr>
      <w:r>
        <w:rPr>
          <w:rFonts w:hint="eastAsia" w:ascii="仿宋" w:hAnsi="仿宋" w:eastAsia="仿宋"/>
          <w:color w:val="auto"/>
          <w:szCs w:val="28"/>
        </w:rPr>
        <w:t>通过绩效评价，全面、客观反映并科学评价项目的工作成效，对预算管理执行过程中存在的不足提出合理化建议，强化支出责任，使预算管理更加科学、完善，进而规范资金的使用管理，提高资金使用效益和效率。</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13" w:name="_Toc151"/>
      <w:bookmarkStart w:id="14" w:name="_Toc32073"/>
      <w:r>
        <w:rPr>
          <w:rFonts w:hint="eastAsia"/>
          <w:color w:val="auto"/>
        </w:rPr>
        <w:t>2.评价对象</w:t>
      </w:r>
      <w:bookmarkEnd w:id="13"/>
      <w:bookmarkEnd w:id="14"/>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auto"/>
          <w:szCs w:val="28"/>
        </w:rPr>
      </w:pPr>
      <w:r>
        <w:rPr>
          <w:rFonts w:hint="eastAsia" w:ascii="仿宋" w:hAnsi="仿宋" w:eastAsia="仿宋" w:cs="宋体"/>
          <w:color w:val="auto"/>
          <w:szCs w:val="28"/>
        </w:rPr>
        <w:t>评价对象为北京市社会科学院。</w:t>
      </w:r>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15" w:name="_Toc23574"/>
      <w:bookmarkStart w:id="16" w:name="_Toc26734"/>
      <w:r>
        <w:rPr>
          <w:rFonts w:hint="eastAsia"/>
          <w:color w:val="auto"/>
        </w:rPr>
        <w:t>3.评价范围</w:t>
      </w:r>
      <w:bookmarkEnd w:id="15"/>
      <w:bookmarkEnd w:id="16"/>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s="宋体"/>
          <w:color w:val="auto"/>
          <w:szCs w:val="28"/>
        </w:rPr>
      </w:pPr>
      <w:r>
        <w:rPr>
          <w:rFonts w:hint="eastAsia" w:ascii="仿宋" w:hAnsi="仿宋" w:eastAsia="仿宋" w:cs="宋体"/>
          <w:color w:val="auto"/>
          <w:szCs w:val="28"/>
        </w:rPr>
        <w:t>本次评价范围为北京市社会科学院“百姓宣讲活动”</w:t>
      </w:r>
      <w:r>
        <w:rPr>
          <w:rFonts w:hint="eastAsia" w:ascii="仿宋" w:hAnsi="仿宋" w:eastAsia="仿宋" w:cs="仿宋_GB2312"/>
          <w:color w:val="auto"/>
          <w:szCs w:val="28"/>
        </w:rPr>
        <w:t>项目</w:t>
      </w:r>
      <w:r>
        <w:rPr>
          <w:rFonts w:hint="eastAsia" w:ascii="仿宋" w:hAnsi="仿宋" w:eastAsia="仿宋" w:cs="宋体"/>
          <w:color w:val="auto"/>
          <w:szCs w:val="28"/>
        </w:rPr>
        <w:t>。</w:t>
      </w:r>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17" w:name="_Toc12982"/>
      <w:r>
        <w:rPr>
          <w:rFonts w:hint="eastAsia"/>
          <w:color w:val="auto"/>
        </w:rPr>
        <w:t>（二）绩效评价原则、评价指标体系、评价方法、评价标准等</w:t>
      </w:r>
      <w:bookmarkEnd w:id="17"/>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18" w:name="_Toc19042"/>
      <w:r>
        <w:rPr>
          <w:color w:val="auto"/>
        </w:rPr>
        <w:t>1.</w:t>
      </w:r>
      <w:r>
        <w:rPr>
          <w:rFonts w:hint="eastAsia"/>
          <w:color w:val="auto"/>
        </w:rPr>
        <w:t>评价原则</w:t>
      </w:r>
      <w:bookmarkEnd w:id="18"/>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olor w:val="auto"/>
          <w:szCs w:val="28"/>
        </w:rPr>
      </w:pPr>
      <w:bookmarkStart w:id="19" w:name="_Toc330547149"/>
      <w:bookmarkStart w:id="20" w:name="_Toc338664689"/>
      <w:bookmarkStart w:id="21" w:name="_Toc330553161"/>
      <w:bookmarkStart w:id="22" w:name="_Toc338666246"/>
      <w:bookmarkStart w:id="23" w:name="_Toc396729202"/>
      <w:bookmarkStart w:id="24" w:name="_Toc396315105"/>
      <w:r>
        <w:rPr>
          <w:rFonts w:hint="eastAsia" w:ascii="仿宋" w:hAnsi="仿宋" w:eastAsia="仿宋"/>
          <w:color w:val="auto"/>
          <w:szCs w:val="28"/>
        </w:rPr>
        <w:t>本次绩效评价工作遵循“</w:t>
      </w:r>
      <w:bookmarkEnd w:id="19"/>
      <w:bookmarkEnd w:id="20"/>
      <w:bookmarkEnd w:id="21"/>
      <w:bookmarkEnd w:id="22"/>
      <w:bookmarkStart w:id="25" w:name="_Toc330553163"/>
      <w:bookmarkStart w:id="26" w:name="_Toc330547151"/>
      <w:bookmarkStart w:id="27" w:name="_Toc338664691"/>
      <w:bookmarkStart w:id="28" w:name="_Toc338666248"/>
      <w:r>
        <w:rPr>
          <w:rFonts w:hint="eastAsia" w:ascii="仿宋" w:hAnsi="仿宋" w:eastAsia="仿宋"/>
          <w:color w:val="auto"/>
          <w:szCs w:val="28"/>
        </w:rPr>
        <w:t>科学公正、统筹兼顾、激励约束、公开透明”等基本原则。</w:t>
      </w:r>
      <w:bookmarkEnd w:id="23"/>
      <w:bookmarkEnd w:id="24"/>
      <w:bookmarkEnd w:id="25"/>
      <w:bookmarkEnd w:id="26"/>
      <w:bookmarkEnd w:id="27"/>
      <w:bookmarkEnd w:id="28"/>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29" w:name="_Toc27646"/>
      <w:r>
        <w:rPr>
          <w:color w:val="auto"/>
        </w:rPr>
        <w:t>2</w:t>
      </w:r>
      <w:r>
        <w:rPr>
          <w:rFonts w:hint="eastAsia"/>
          <w:color w:val="auto"/>
        </w:rPr>
        <w:t>.评价指标体系</w:t>
      </w:r>
      <w:bookmarkEnd w:id="29"/>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评价指标以《北京市项目支出绩效评价管理办法》（京财绩效〔2020〕2146 号）为主要参考，结合项目特点，设置 4 项一级指标、12 项二级指标、23 项三级指标。</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一是决策（10 分），在决策的指标下设置立项依据充分性、立项程序规范性、绩效目标合理性、绩效指标明确性、预算编制科学性、资金分配合理性6个三级指标，以反</w:t>
      </w:r>
      <w:r>
        <w:rPr>
          <w:rFonts w:hint="eastAsia" w:ascii="仿宋" w:hAnsi="仿宋" w:eastAsia="仿宋"/>
          <w:color w:val="auto"/>
          <w:szCs w:val="28"/>
          <w:lang w:eastAsia="zh-CN"/>
        </w:rPr>
        <w:t>映</w:t>
      </w:r>
      <w:r>
        <w:rPr>
          <w:rFonts w:hint="eastAsia" w:ascii="仿宋" w:hAnsi="仿宋" w:eastAsia="仿宋"/>
          <w:color w:val="auto"/>
          <w:szCs w:val="28"/>
        </w:rPr>
        <w:t>项目的绩效目标及决策过程情况。</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二是过程（20 分），在过程指标下设置资金到位率、预算执行率、资金使用合规性、管理制度健全性、制度执行有效性5个三级指标，以反</w:t>
      </w:r>
      <w:r>
        <w:rPr>
          <w:rFonts w:hint="eastAsia" w:ascii="仿宋" w:hAnsi="仿宋" w:eastAsia="仿宋"/>
          <w:color w:val="auto"/>
          <w:szCs w:val="28"/>
          <w:lang w:eastAsia="zh-CN"/>
        </w:rPr>
        <w:t>映</w:t>
      </w:r>
      <w:r>
        <w:rPr>
          <w:rFonts w:hint="eastAsia" w:ascii="仿宋" w:hAnsi="仿宋" w:eastAsia="仿宋"/>
          <w:color w:val="auto"/>
          <w:szCs w:val="28"/>
        </w:rPr>
        <w:t>项目的资金运用、组织实施及过程控制的情况。</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三是产出（40分），在产出指标下设置举办各类主题百姓宣讲报告会、组建市级宣讲团培训市级宣讲员、出版《身边的正能量》作品集、举办各类主题百姓宣讲报告会覆盖面、2023年度百姓宣讲调研汇讲评选的优秀宣讲员、完善网络矩阵建设验收合格、组建市级宣讲团完成时间、举办各类主题百姓宣讲报告会完成时间以及成本控制数9个三级指标，以</w:t>
      </w:r>
      <w:r>
        <w:rPr>
          <w:rFonts w:hint="eastAsia" w:ascii="仿宋" w:hAnsi="仿宋" w:eastAsia="仿宋"/>
          <w:color w:val="auto"/>
          <w:szCs w:val="28"/>
          <w:lang w:eastAsia="zh-CN"/>
        </w:rPr>
        <w:t>反映</w:t>
      </w:r>
      <w:r>
        <w:rPr>
          <w:rFonts w:hint="eastAsia" w:ascii="仿宋" w:hAnsi="仿宋" w:eastAsia="仿宋"/>
          <w:color w:val="auto"/>
          <w:szCs w:val="28"/>
        </w:rPr>
        <w:t>项目的产出情况。</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四是效益（30分），在效益指标下设置引导、传播正能量，有效引领社会舆论环境、加强引领、深入指导全市各区（系统）做好基层百姓宣讲工作，提高宣讲的吸引力和覆盖面，利用新媒体平台扩大宣讲的影响力、抽取调查的宣讲受众满意度3个三级指标，以</w:t>
      </w:r>
      <w:r>
        <w:rPr>
          <w:rFonts w:hint="eastAsia" w:ascii="仿宋" w:hAnsi="仿宋" w:eastAsia="仿宋"/>
          <w:color w:val="auto"/>
          <w:szCs w:val="28"/>
          <w:lang w:eastAsia="zh-CN"/>
        </w:rPr>
        <w:t>反映</w:t>
      </w:r>
      <w:r>
        <w:rPr>
          <w:rFonts w:hint="eastAsia" w:ascii="仿宋" w:hAnsi="仿宋" w:eastAsia="仿宋"/>
          <w:color w:val="auto"/>
          <w:szCs w:val="28"/>
        </w:rPr>
        <w:t>项目完成效果情况。</w:t>
      </w:r>
    </w:p>
    <w:p>
      <w:pPr>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本次绩效评价结果根据评价分数分为 4 个等级：综合得分在 90（含）-100 分为优，80（含）-90 分为良，60（含）-80 分为中，60 分以下为差。</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0" w:name="_Toc10426"/>
      <w:r>
        <w:rPr>
          <w:rFonts w:hint="eastAsia"/>
          <w:color w:val="auto"/>
        </w:rPr>
        <w:t>3.评价方法</w:t>
      </w:r>
      <w:bookmarkEnd w:id="30"/>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s="仿宋_GB2312"/>
          <w:color w:val="auto"/>
          <w:kern w:val="0"/>
          <w:szCs w:val="28"/>
        </w:rPr>
      </w:pPr>
      <w:r>
        <w:rPr>
          <w:rFonts w:hint="eastAsia" w:ascii="仿宋" w:hAnsi="仿宋" w:eastAsia="仿宋"/>
          <w:color w:val="auto"/>
          <w:szCs w:val="28"/>
        </w:rPr>
        <w:t>本次评价工作根据北京市</w:t>
      </w:r>
      <w:r>
        <w:rPr>
          <w:rFonts w:hint="eastAsia" w:ascii="仿宋" w:hAnsi="仿宋" w:eastAsia="仿宋"/>
          <w:color w:val="auto"/>
          <w:szCs w:val="28"/>
          <w:lang w:eastAsia="zh-CN"/>
        </w:rPr>
        <w:t>财政局</w:t>
      </w:r>
      <w:r>
        <w:rPr>
          <w:rFonts w:hint="eastAsia" w:ascii="仿宋" w:hAnsi="仿宋" w:eastAsia="仿宋"/>
          <w:color w:val="auto"/>
          <w:szCs w:val="28"/>
        </w:rPr>
        <w:t>相关要求，结合实际需要，</w:t>
      </w:r>
      <w:r>
        <w:rPr>
          <w:rFonts w:hint="eastAsia" w:ascii="仿宋" w:hAnsi="仿宋" w:eastAsia="仿宋" w:cs="仿宋_GB2312"/>
          <w:color w:val="auto"/>
          <w:szCs w:val="28"/>
        </w:rPr>
        <w:t>主要通过采用：（1）比较法对绩效目标与完成情况的比较、综合分析该项目的实施情况；（2）通过调查法掌握该项目的管理措施、监管情况等；（3）通过采用因素分析法综合分析影响绩效目标实现、实施的内外因素。</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1" w:name="_Toc15239"/>
      <w:r>
        <w:rPr>
          <w:rFonts w:hint="eastAsia"/>
          <w:color w:val="auto"/>
        </w:rPr>
        <w:t>4.评价标准</w:t>
      </w:r>
      <w:bookmarkEnd w:id="31"/>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olor w:val="auto"/>
          <w:szCs w:val="28"/>
        </w:rPr>
      </w:pPr>
      <w:r>
        <w:rPr>
          <w:rFonts w:hint="eastAsia" w:ascii="仿宋" w:hAnsi="仿宋" w:eastAsia="仿宋" w:cs="仿宋_GB2312"/>
          <w:color w:val="auto"/>
          <w:kern w:val="0"/>
          <w:szCs w:val="28"/>
        </w:rPr>
        <w:t xml:space="preserve">绩效评价标准通常包括计划标准、行业标准、历史标准等,用于对绩效指标完成情况进行比较。 </w:t>
      </w:r>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32" w:name="_Toc24333"/>
      <w:r>
        <w:rPr>
          <w:rFonts w:hint="eastAsia"/>
          <w:color w:val="auto"/>
        </w:rPr>
        <w:t>（三）绩效评价工作过程</w:t>
      </w:r>
      <w:bookmarkEnd w:id="32"/>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为确保绩效评价工作的客观公正，评价工作组严格按照绩效评价工作程序组织实施绩效评价工作，主要程序如下：</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3" w:name="_Toc31717"/>
      <w:r>
        <w:rPr>
          <w:rFonts w:hint="eastAsia"/>
          <w:color w:val="auto"/>
        </w:rPr>
        <w:t>1.组建评价工作组、遴选专家</w:t>
      </w:r>
      <w:bookmarkEnd w:id="33"/>
    </w:p>
    <w:p>
      <w:pPr>
        <w:keepNext/>
        <w:keepLines/>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按照工作要求和该项目特点，评价工作组由 5 名成员组成，评价工作组组建后，根据项目实际情况遴选相关业务专家、管理专家和财务专家共 5 名组成专家组。评价工作组对每名成员的职责及分工进行了明确，并对工作组全体人员和专家进行了培训。</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4" w:name="_Toc32147"/>
      <w:r>
        <w:rPr>
          <w:rFonts w:hint="eastAsia"/>
          <w:color w:val="auto"/>
        </w:rPr>
        <w:t>2.现场调研、收集资料</w:t>
      </w:r>
      <w:bookmarkEnd w:id="34"/>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评价工作组按照相关要求进行了现场调研，收集相关资料并听取项目单位的说明，并对所收集的资料进行核实和全面分析，对缺失的资料要求项目单位及时补充；对重要的和存在疑问的基础数据资料进行核实确认。</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5" w:name="_Toc25753"/>
      <w:r>
        <w:rPr>
          <w:rFonts w:hint="eastAsia"/>
          <w:color w:val="auto"/>
        </w:rPr>
        <w:t>3.研究制定指标体系</w:t>
      </w:r>
      <w:bookmarkEnd w:id="35"/>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评价工作组根据项目实际情况，细化评价指标，明确评价标准，最终确定项目评价指标体系。</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6" w:name="_Toc19784"/>
      <w:r>
        <w:rPr>
          <w:rFonts w:hint="eastAsia"/>
          <w:color w:val="auto"/>
        </w:rPr>
        <w:t>4.筹备和召开专家评价会</w:t>
      </w:r>
      <w:bookmarkEnd w:id="36"/>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评价工作组会同项目单位完成评价会资料的准备工作，于 2024年 5 月 17 日召开专家评价会。专家对该项目的绩效情况进行评价和打分，并出具评价意见。</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37" w:name="_Toc21545"/>
      <w:r>
        <w:rPr>
          <w:rFonts w:hint="eastAsia"/>
          <w:color w:val="auto"/>
        </w:rPr>
        <w:t>5.撰写绩效评价报告</w:t>
      </w:r>
      <w:bookmarkEnd w:id="37"/>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评价工作组在专家评价会结束后，汇总专家打分和评价意见，完成绩效评价报告初稿的撰写工作。经与项目单位沟通反馈后，形成评价报告终稿。</w:t>
      </w:r>
    </w:p>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38" w:name="_Toc28204"/>
      <w:r>
        <w:rPr>
          <w:rFonts w:hint="eastAsia"/>
          <w:color w:val="auto"/>
        </w:rPr>
        <w:t>三、综合评价情况及评价结论</w:t>
      </w:r>
      <w:bookmarkEnd w:id="38"/>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s="宋体"/>
          <w:color w:val="auto"/>
          <w:kern w:val="0"/>
          <w:szCs w:val="28"/>
        </w:rPr>
      </w:pPr>
      <w:r>
        <w:rPr>
          <w:rFonts w:hint="eastAsia" w:ascii="仿宋" w:hAnsi="仿宋" w:eastAsia="仿宋"/>
          <w:color w:val="auto"/>
          <w:szCs w:val="28"/>
        </w:rPr>
        <w:t>“</w:t>
      </w:r>
      <w:r>
        <w:rPr>
          <w:rFonts w:hint="eastAsia" w:ascii="仿宋" w:hAnsi="仿宋" w:eastAsia="仿宋" w:cs="宋体"/>
          <w:color w:val="auto"/>
          <w:szCs w:val="28"/>
        </w:rPr>
        <w:t>百姓宣讲活动</w:t>
      </w:r>
      <w:r>
        <w:rPr>
          <w:rFonts w:hint="eastAsia" w:ascii="仿宋" w:hAnsi="仿宋" w:eastAsia="仿宋"/>
          <w:color w:val="auto"/>
          <w:szCs w:val="28"/>
        </w:rPr>
        <w:t>”项目综合得分9</w:t>
      </w:r>
      <w:r>
        <w:rPr>
          <w:rFonts w:hint="eastAsia" w:ascii="仿宋" w:hAnsi="仿宋" w:eastAsia="仿宋"/>
          <w:color w:val="auto"/>
          <w:szCs w:val="28"/>
          <w:lang w:val="en-US" w:eastAsia="zh-CN"/>
        </w:rPr>
        <w:t>2.5</w:t>
      </w:r>
      <w:r>
        <w:rPr>
          <w:rFonts w:hint="eastAsia" w:ascii="仿宋" w:hAnsi="仿宋" w:eastAsia="仿宋"/>
          <w:color w:val="auto"/>
          <w:szCs w:val="28"/>
        </w:rPr>
        <w:t>分，其中：项目决策8.6分，项目管理</w:t>
      </w:r>
      <w:r>
        <w:rPr>
          <w:rFonts w:ascii="仿宋" w:hAnsi="仿宋" w:eastAsia="仿宋"/>
          <w:color w:val="auto"/>
          <w:szCs w:val="28"/>
        </w:rPr>
        <w:t>1</w:t>
      </w:r>
      <w:r>
        <w:rPr>
          <w:rFonts w:hint="eastAsia" w:ascii="仿宋" w:hAnsi="仿宋" w:eastAsia="仿宋"/>
          <w:color w:val="auto"/>
          <w:szCs w:val="28"/>
          <w:lang w:val="en-US" w:eastAsia="zh-CN"/>
        </w:rPr>
        <w:t>7</w:t>
      </w:r>
      <w:r>
        <w:rPr>
          <w:rFonts w:ascii="仿宋" w:hAnsi="仿宋" w:eastAsia="仿宋"/>
          <w:color w:val="auto"/>
          <w:szCs w:val="28"/>
        </w:rPr>
        <w:t>.</w:t>
      </w:r>
      <w:r>
        <w:rPr>
          <w:rFonts w:hint="eastAsia" w:ascii="仿宋" w:hAnsi="仿宋" w:eastAsia="仿宋"/>
          <w:color w:val="auto"/>
          <w:szCs w:val="28"/>
          <w:lang w:val="en-US" w:eastAsia="zh-CN"/>
        </w:rPr>
        <w:t>5</w:t>
      </w:r>
      <w:r>
        <w:rPr>
          <w:rFonts w:hint="eastAsia" w:ascii="仿宋" w:hAnsi="仿宋" w:eastAsia="仿宋"/>
          <w:color w:val="auto"/>
          <w:szCs w:val="28"/>
        </w:rPr>
        <w:t>分，项目产出</w:t>
      </w:r>
      <w:r>
        <w:rPr>
          <w:rFonts w:ascii="仿宋" w:hAnsi="仿宋" w:eastAsia="仿宋"/>
          <w:color w:val="auto"/>
          <w:szCs w:val="28"/>
        </w:rPr>
        <w:t>3</w:t>
      </w:r>
      <w:r>
        <w:rPr>
          <w:rFonts w:hint="eastAsia" w:ascii="仿宋" w:hAnsi="仿宋" w:eastAsia="仿宋"/>
          <w:color w:val="auto"/>
          <w:szCs w:val="28"/>
          <w:lang w:val="en-US" w:eastAsia="zh-CN"/>
        </w:rPr>
        <w:t>8</w:t>
      </w:r>
      <w:r>
        <w:rPr>
          <w:rFonts w:hint="eastAsia" w:ascii="仿宋" w:hAnsi="仿宋" w:eastAsia="仿宋"/>
          <w:color w:val="auto"/>
          <w:szCs w:val="28"/>
        </w:rPr>
        <w:t>.6分，项目效益2</w:t>
      </w:r>
      <w:r>
        <w:rPr>
          <w:rFonts w:hint="eastAsia" w:ascii="仿宋" w:hAnsi="仿宋" w:eastAsia="仿宋"/>
          <w:color w:val="auto"/>
          <w:szCs w:val="28"/>
          <w:lang w:val="en-US" w:eastAsia="zh-CN"/>
        </w:rPr>
        <w:t>7.8</w:t>
      </w:r>
      <w:r>
        <w:rPr>
          <w:rFonts w:hint="eastAsia" w:ascii="仿宋" w:hAnsi="仿宋" w:eastAsia="仿宋"/>
          <w:color w:val="auto"/>
          <w:szCs w:val="28"/>
        </w:rPr>
        <w:t>分，项目综合绩效</w:t>
      </w:r>
      <w:r>
        <w:rPr>
          <w:rFonts w:hint="eastAsia" w:ascii="仿宋" w:hAnsi="仿宋" w:eastAsia="仿宋" w:cs="宋体"/>
          <w:color w:val="auto"/>
          <w:kern w:val="0"/>
          <w:szCs w:val="28"/>
        </w:rPr>
        <w:t>级别评定结论为“优”。</w:t>
      </w:r>
    </w:p>
    <w:p>
      <w:pPr>
        <w:pageBreakBefore w:val="0"/>
        <w:widowControl/>
        <w:kinsoku/>
        <w:wordWrap/>
        <w:overflowPunct/>
        <w:topLinePunct w:val="0"/>
        <w:autoSpaceDE/>
        <w:autoSpaceDN/>
        <w:bidi w:val="0"/>
        <w:adjustRightInd/>
        <w:snapToGrid/>
        <w:spacing w:line="520" w:lineRule="exact"/>
        <w:ind w:firstLine="562"/>
        <w:jc w:val="center"/>
        <w:textAlignment w:val="auto"/>
        <w:rPr>
          <w:rFonts w:hint="eastAsia" w:ascii="仿宋" w:hAnsi="仿宋" w:eastAsia="仿宋" w:cs="仿宋"/>
          <w:b/>
          <w:color w:val="auto"/>
          <w:kern w:val="0"/>
          <w:szCs w:val="28"/>
          <w:lang w:bidi="ar"/>
        </w:rPr>
      </w:pPr>
    </w:p>
    <w:p>
      <w:pPr>
        <w:pageBreakBefore w:val="0"/>
        <w:widowControl/>
        <w:kinsoku/>
        <w:wordWrap/>
        <w:overflowPunct/>
        <w:topLinePunct w:val="0"/>
        <w:autoSpaceDE/>
        <w:autoSpaceDN/>
        <w:bidi w:val="0"/>
        <w:adjustRightInd/>
        <w:snapToGrid/>
        <w:spacing w:line="520" w:lineRule="exact"/>
        <w:ind w:firstLine="562"/>
        <w:jc w:val="center"/>
        <w:textAlignment w:val="auto"/>
        <w:rPr>
          <w:rFonts w:hint="eastAsia" w:ascii="仿宋" w:hAnsi="仿宋" w:eastAsia="仿宋" w:cs="仿宋"/>
          <w:b/>
          <w:color w:val="auto"/>
          <w:kern w:val="0"/>
          <w:szCs w:val="28"/>
          <w:lang w:bidi="ar"/>
        </w:rPr>
      </w:pPr>
      <w:r>
        <w:rPr>
          <w:rFonts w:hint="eastAsia" w:ascii="仿宋" w:hAnsi="仿宋" w:eastAsia="仿宋" w:cs="仿宋"/>
          <w:b/>
          <w:color w:val="auto"/>
          <w:kern w:val="0"/>
          <w:szCs w:val="28"/>
          <w:lang w:bidi="ar"/>
        </w:rPr>
        <w:t>百姓宣讲活动绩效评价结论一览表</w:t>
      </w:r>
    </w:p>
    <w:tbl>
      <w:tblPr>
        <w:tblStyle w:val="20"/>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19"/>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评价内容</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分值</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决策管理</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ascii="仿宋" w:hAnsi="仿宋" w:eastAsia="仿宋" w:cs="仿宋"/>
                <w:bCs/>
                <w:color w:val="auto"/>
                <w:kern w:val="0"/>
                <w:sz w:val="24"/>
                <w:szCs w:val="24"/>
                <w:lang w:bidi="ar"/>
              </w:rPr>
              <w:t>10</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仿宋" w:hAnsi="仿宋" w:eastAsia="仿宋" w:cs="仿宋"/>
                <w:bCs/>
                <w:color w:val="auto"/>
                <w:kern w:val="0"/>
                <w:sz w:val="24"/>
                <w:szCs w:val="24"/>
                <w:lang w:bidi="ar"/>
              </w:rPr>
            </w:pPr>
            <w:r>
              <w:rPr>
                <w:rFonts w:hint="eastAsia" w:ascii="仿宋" w:hAnsi="仿宋" w:eastAsia="仿宋" w:cs="仿宋"/>
                <w:bCs/>
                <w:color w:val="auto"/>
                <w:kern w:val="0"/>
                <w:sz w:val="24"/>
                <w:szCs w:val="24"/>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过程管理</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ascii="仿宋" w:hAnsi="仿宋" w:eastAsia="仿宋" w:cs="仿宋"/>
                <w:color w:val="auto"/>
                <w:kern w:val="0"/>
                <w:sz w:val="24"/>
                <w:szCs w:val="24"/>
                <w:lang w:bidi="ar"/>
              </w:rPr>
              <w:t>20</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Cs/>
                <w:color w:val="auto"/>
                <w:kern w:val="0"/>
                <w:sz w:val="24"/>
                <w:szCs w:val="24"/>
                <w:lang w:eastAsia="zh-CN" w:bidi="ar"/>
              </w:rPr>
            </w:pPr>
            <w:r>
              <w:rPr>
                <w:rFonts w:hint="eastAsia" w:ascii="仿宋" w:hAnsi="仿宋" w:eastAsia="仿宋" w:cs="仿宋"/>
                <w:bCs/>
                <w:color w:val="auto"/>
                <w:kern w:val="0"/>
                <w:sz w:val="24"/>
                <w:szCs w:val="24"/>
                <w:lang w:bidi="ar"/>
              </w:rPr>
              <w:t>1</w:t>
            </w:r>
            <w:r>
              <w:rPr>
                <w:rFonts w:hint="eastAsia" w:ascii="仿宋" w:hAnsi="仿宋" w:eastAsia="仿宋" w:cs="仿宋"/>
                <w:bCs/>
                <w:color w:val="auto"/>
                <w:kern w:val="0"/>
                <w:sz w:val="24"/>
                <w:szCs w:val="24"/>
                <w:lang w:val="en-US" w:eastAsia="zh-CN" w:bidi="ar"/>
              </w:rPr>
              <w:t>7</w:t>
            </w:r>
            <w:r>
              <w:rPr>
                <w:rFonts w:hint="eastAsia" w:ascii="仿宋" w:hAnsi="仿宋" w:eastAsia="仿宋" w:cs="仿宋"/>
                <w:bCs/>
                <w:color w:val="auto"/>
                <w:kern w:val="0"/>
                <w:sz w:val="24"/>
                <w:szCs w:val="24"/>
                <w:lang w:bidi="ar"/>
              </w:rPr>
              <w:t>.</w:t>
            </w:r>
            <w:r>
              <w:rPr>
                <w:rFonts w:hint="eastAsia" w:ascii="仿宋" w:hAnsi="仿宋" w:eastAsia="仿宋" w:cs="仿宋"/>
                <w:bCs/>
                <w:color w:val="auto"/>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项目产出</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ascii="仿宋" w:hAnsi="仿宋" w:eastAsia="仿宋" w:cs="仿宋"/>
                <w:color w:val="auto"/>
                <w:kern w:val="0"/>
                <w:sz w:val="24"/>
                <w:szCs w:val="24"/>
                <w:lang w:bidi="ar"/>
              </w:rPr>
              <w:t>40</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仿宋" w:hAnsi="仿宋" w:eastAsia="仿宋" w:cs="仿宋"/>
                <w:bCs/>
                <w:color w:val="auto"/>
                <w:kern w:val="0"/>
                <w:sz w:val="24"/>
                <w:szCs w:val="24"/>
                <w:lang w:bidi="ar"/>
              </w:rPr>
            </w:pPr>
            <w:r>
              <w:rPr>
                <w:rFonts w:hint="eastAsia" w:ascii="仿宋" w:hAnsi="仿宋" w:eastAsia="仿宋" w:cs="仿宋"/>
                <w:bCs/>
                <w:color w:val="auto"/>
                <w:kern w:val="0"/>
                <w:sz w:val="24"/>
                <w:szCs w:val="24"/>
                <w:lang w:bidi="ar"/>
              </w:rPr>
              <w:t>3</w:t>
            </w:r>
            <w:r>
              <w:rPr>
                <w:rFonts w:hint="eastAsia" w:ascii="仿宋" w:hAnsi="仿宋" w:eastAsia="仿宋" w:cs="仿宋"/>
                <w:bCs/>
                <w:color w:val="auto"/>
                <w:kern w:val="0"/>
                <w:sz w:val="24"/>
                <w:szCs w:val="24"/>
                <w:lang w:val="en-US" w:eastAsia="zh-CN" w:bidi="ar"/>
              </w:rPr>
              <w:t>8</w:t>
            </w:r>
            <w:r>
              <w:rPr>
                <w:rFonts w:hint="eastAsia" w:ascii="仿宋" w:hAnsi="仿宋" w:eastAsia="仿宋" w:cs="仿宋"/>
                <w:bCs/>
                <w:color w:val="auto"/>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项目效益</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仿宋" w:hAnsi="仿宋" w:eastAsia="仿宋" w:cs="仿宋"/>
                <w:color w:val="auto"/>
                <w:kern w:val="0"/>
                <w:sz w:val="24"/>
                <w:szCs w:val="24"/>
                <w:lang w:bidi="ar"/>
              </w:rPr>
            </w:pPr>
            <w:r>
              <w:rPr>
                <w:rFonts w:ascii="仿宋" w:hAnsi="仿宋" w:eastAsia="仿宋" w:cs="仿宋"/>
                <w:color w:val="auto"/>
                <w:kern w:val="0"/>
                <w:sz w:val="24"/>
                <w:szCs w:val="24"/>
                <w:lang w:bidi="ar"/>
              </w:rPr>
              <w:t>30</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default" w:ascii="仿宋" w:hAnsi="仿宋" w:eastAsia="仿宋" w:cs="仿宋"/>
                <w:bCs/>
                <w:color w:val="auto"/>
                <w:kern w:val="0"/>
                <w:sz w:val="24"/>
                <w:szCs w:val="24"/>
                <w:lang w:val="en-US" w:bidi="ar"/>
              </w:rPr>
            </w:pPr>
            <w:r>
              <w:rPr>
                <w:rFonts w:hint="eastAsia" w:ascii="仿宋" w:hAnsi="仿宋" w:eastAsia="仿宋" w:cs="仿宋"/>
                <w:bCs/>
                <w:color w:val="auto"/>
                <w:kern w:val="0"/>
                <w:sz w:val="24"/>
                <w:szCs w:val="24"/>
                <w:lang w:bidi="ar"/>
              </w:rPr>
              <w:t>2</w:t>
            </w:r>
            <w:r>
              <w:rPr>
                <w:rFonts w:hint="eastAsia" w:ascii="仿宋" w:hAnsi="仿宋" w:eastAsia="仿宋" w:cs="仿宋"/>
                <w:bCs/>
                <w:color w:val="auto"/>
                <w:kern w:val="0"/>
                <w:sz w:val="24"/>
                <w:szCs w:val="24"/>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综合得分</w:t>
            </w:r>
          </w:p>
        </w:tc>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ascii="仿宋" w:hAnsi="仿宋" w:eastAsia="仿宋" w:cs="仿宋"/>
                <w:color w:val="auto"/>
                <w:kern w:val="0"/>
                <w:sz w:val="24"/>
                <w:szCs w:val="24"/>
                <w:lang w:bidi="ar"/>
              </w:rPr>
              <w:t>100</w:t>
            </w:r>
          </w:p>
        </w:tc>
        <w:tc>
          <w:tcPr>
            <w:tcW w:w="1667"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Cs/>
                <w:color w:val="auto"/>
                <w:kern w:val="0"/>
                <w:sz w:val="24"/>
                <w:szCs w:val="24"/>
                <w:lang w:eastAsia="zh-CN" w:bidi="ar"/>
              </w:rPr>
            </w:pPr>
            <w:r>
              <w:rPr>
                <w:rFonts w:hint="eastAsia" w:ascii="仿宋" w:hAnsi="仿宋" w:eastAsia="仿宋" w:cs="仿宋"/>
                <w:bCs/>
                <w:color w:val="auto"/>
                <w:kern w:val="0"/>
                <w:sz w:val="24"/>
                <w:szCs w:val="24"/>
                <w:lang w:bidi="ar"/>
              </w:rPr>
              <w:t>9</w:t>
            </w:r>
            <w:r>
              <w:rPr>
                <w:rFonts w:hint="eastAsia" w:ascii="仿宋" w:hAnsi="仿宋" w:eastAsia="仿宋" w:cs="仿宋"/>
                <w:bCs/>
                <w:color w:val="auto"/>
                <w:kern w:val="0"/>
                <w:sz w:val="24"/>
                <w:szCs w:val="24"/>
                <w:lang w:val="en-US" w:eastAsia="zh-CN" w:bidi="ar"/>
              </w:rPr>
              <w:t>2</w:t>
            </w:r>
            <w:r>
              <w:rPr>
                <w:rFonts w:hint="eastAsia" w:ascii="仿宋" w:hAnsi="仿宋" w:eastAsia="仿宋" w:cs="仿宋"/>
                <w:bCs/>
                <w:color w:val="auto"/>
                <w:kern w:val="0"/>
                <w:sz w:val="24"/>
                <w:szCs w:val="24"/>
                <w:lang w:bidi="ar"/>
              </w:rPr>
              <w:t>.</w:t>
            </w:r>
            <w:r>
              <w:rPr>
                <w:rFonts w:hint="eastAsia" w:ascii="仿宋" w:hAnsi="仿宋" w:eastAsia="仿宋" w:cs="仿宋"/>
                <w:bCs/>
                <w:color w:val="auto"/>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6" w:type="pct"/>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绩效评定级别</w:t>
            </w:r>
          </w:p>
        </w:tc>
        <w:tc>
          <w:tcPr>
            <w:tcW w:w="3333" w:type="pct"/>
            <w:gridSpan w:val="2"/>
            <w:noWrap w:val="0"/>
            <w:vAlign w:val="center"/>
          </w:tcPr>
          <w:p>
            <w:pPr>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优</w:t>
            </w:r>
          </w:p>
        </w:tc>
      </w:tr>
    </w:tbl>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39" w:name="_Toc32733"/>
      <w:r>
        <w:rPr>
          <w:rFonts w:hint="eastAsia"/>
          <w:color w:val="auto"/>
        </w:rPr>
        <w:t>四、绩效评价指标分析</w:t>
      </w:r>
      <w:bookmarkEnd w:id="39"/>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40" w:name="_Toc10380"/>
      <w:r>
        <w:rPr>
          <w:rFonts w:hint="eastAsia"/>
          <w:color w:val="auto"/>
        </w:rPr>
        <w:t>（一）项目决策情况</w:t>
      </w:r>
      <w:bookmarkEnd w:id="40"/>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41" w:name="_Toc24173"/>
      <w:r>
        <w:rPr>
          <w:rFonts w:hint="eastAsia"/>
          <w:color w:val="auto"/>
        </w:rPr>
        <w:t>1</w:t>
      </w:r>
      <w:r>
        <w:rPr>
          <w:color w:val="auto"/>
        </w:rPr>
        <w:t>.</w:t>
      </w:r>
      <w:r>
        <w:rPr>
          <w:rFonts w:hint="eastAsia"/>
          <w:color w:val="auto"/>
        </w:rPr>
        <w:t>立项依据充分性</w:t>
      </w:r>
      <w:bookmarkEnd w:id="41"/>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项目立项符合国家法律法规、国民经济发展规划和相关政策；项目立项与部门职责范围相符，属于部门履职所需；项目属于公共财政支持范围，符合中央、地方事权支出责任划分原则。</w:t>
      </w:r>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42" w:name="_Toc4462"/>
      <w:r>
        <w:rPr>
          <w:rFonts w:hint="eastAsia"/>
          <w:color w:val="auto"/>
        </w:rPr>
        <w:t>2</w:t>
      </w:r>
      <w:r>
        <w:rPr>
          <w:color w:val="auto"/>
        </w:rPr>
        <w:t>.</w:t>
      </w:r>
      <w:r>
        <w:rPr>
          <w:rFonts w:hint="eastAsia"/>
          <w:color w:val="auto"/>
        </w:rPr>
        <w:t>立项程序规范性</w:t>
      </w:r>
      <w:bookmarkEnd w:id="42"/>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olor w:val="auto"/>
          <w:szCs w:val="28"/>
        </w:rPr>
      </w:pPr>
      <w:r>
        <w:rPr>
          <w:rFonts w:hint="eastAsia" w:ascii="仿宋" w:hAnsi="仿宋" w:eastAsia="仿宋"/>
          <w:color w:val="auto"/>
          <w:szCs w:val="28"/>
        </w:rPr>
        <w:t>该项目履行了项目立项集体决策、预算评审等程序，经院党组会会集体决议通过。</w:t>
      </w:r>
    </w:p>
    <w:p>
      <w:pPr>
        <w:pStyle w:val="5"/>
        <w:pageBreakBefore w:val="0"/>
        <w:numPr>
          <w:ilvl w:val="0"/>
          <w:numId w:val="1"/>
        </w:numPr>
        <w:kinsoku/>
        <w:wordWrap/>
        <w:overflowPunct/>
        <w:topLinePunct w:val="0"/>
        <w:autoSpaceDE/>
        <w:autoSpaceDN/>
        <w:bidi w:val="0"/>
        <w:adjustRightInd/>
        <w:snapToGrid/>
        <w:spacing w:line="520" w:lineRule="exact"/>
        <w:ind w:firstLine="560"/>
        <w:textAlignment w:val="auto"/>
        <w:rPr>
          <w:color w:val="auto"/>
        </w:rPr>
      </w:pPr>
      <w:bookmarkStart w:id="43" w:name="_Toc3371"/>
      <w:r>
        <w:rPr>
          <w:rFonts w:hint="eastAsia"/>
          <w:color w:val="auto"/>
        </w:rPr>
        <w:t>目标合理性分析</w:t>
      </w:r>
      <w:bookmarkEnd w:id="43"/>
    </w:p>
    <w:p>
      <w:pPr>
        <w:pageBreakBefore w:val="0"/>
        <w:kinsoku/>
        <w:wordWrap/>
        <w:overflowPunct/>
        <w:topLinePunct w:val="0"/>
        <w:autoSpaceDE/>
        <w:autoSpaceDN/>
        <w:bidi w:val="0"/>
        <w:adjustRightInd/>
        <w:snapToGrid/>
        <w:spacing w:line="520" w:lineRule="exact"/>
        <w:ind w:firstLine="560" w:firstLineChars="0"/>
        <w:textAlignment w:val="auto"/>
        <w:rPr>
          <w:rFonts w:ascii="仿宋" w:hAnsi="仿宋" w:eastAsia="仿宋"/>
          <w:color w:val="auto"/>
          <w:kern w:val="44"/>
          <w:szCs w:val="28"/>
        </w:rPr>
      </w:pPr>
      <w:r>
        <w:rPr>
          <w:rFonts w:hint="eastAsia" w:ascii="仿宋" w:hAnsi="仿宋" w:eastAsia="仿宋"/>
          <w:color w:val="auto"/>
          <w:kern w:val="44"/>
          <w:szCs w:val="28"/>
        </w:rPr>
        <w:t>该项目绩效目标设置较合理，与项目部门职能、实际工作内容相关，但指标设置不</w:t>
      </w:r>
      <w:r>
        <w:rPr>
          <w:rFonts w:hint="eastAsia" w:ascii="仿宋" w:hAnsi="仿宋" w:eastAsia="仿宋"/>
          <w:color w:val="auto"/>
          <w:kern w:val="44"/>
          <w:szCs w:val="28"/>
          <w:lang w:eastAsia="zh-CN"/>
        </w:rPr>
        <w:t>够全面</w:t>
      </w:r>
      <w:r>
        <w:rPr>
          <w:rFonts w:hint="eastAsia" w:ascii="仿宋" w:hAnsi="仿宋" w:eastAsia="仿宋"/>
          <w:color w:val="auto"/>
          <w:kern w:val="44"/>
          <w:szCs w:val="28"/>
        </w:rPr>
        <w:t>，如：针对项目实施方案中的完善网络矩阵建设未设置指标；社会效益指标定义为引导、传播正能量，有效引领社会舆论环境，指标值为</w:t>
      </w:r>
      <w:r>
        <w:rPr>
          <w:rFonts w:hint="eastAsia" w:ascii="仿宋" w:hAnsi="仿宋" w:eastAsia="仿宋"/>
          <w:color w:val="auto"/>
          <w:kern w:val="44"/>
          <w:szCs w:val="28"/>
          <w:lang w:eastAsia="zh-CN"/>
        </w:rPr>
        <w:t>“</w:t>
      </w:r>
      <w:r>
        <w:rPr>
          <w:rFonts w:hint="eastAsia" w:ascii="仿宋" w:hAnsi="仿宋" w:eastAsia="仿宋"/>
          <w:color w:val="auto"/>
          <w:kern w:val="44"/>
          <w:szCs w:val="28"/>
        </w:rPr>
        <w:t>满足要求</w:t>
      </w:r>
      <w:r>
        <w:rPr>
          <w:rFonts w:hint="eastAsia" w:ascii="仿宋" w:hAnsi="仿宋" w:eastAsia="仿宋"/>
          <w:color w:val="auto"/>
          <w:kern w:val="44"/>
          <w:szCs w:val="28"/>
          <w:lang w:eastAsia="zh-CN"/>
        </w:rPr>
        <w:t>”</w:t>
      </w:r>
      <w:r>
        <w:rPr>
          <w:rFonts w:hint="eastAsia" w:ascii="仿宋" w:hAnsi="仿宋" w:eastAsia="仿宋"/>
          <w:color w:val="auto"/>
          <w:kern w:val="44"/>
          <w:szCs w:val="28"/>
        </w:rPr>
        <w:t>，无评价标准，不易评价；服务对象满意度指标值</w:t>
      </w:r>
      <w:r>
        <w:rPr>
          <w:rFonts w:hint="eastAsia" w:ascii="仿宋" w:hAnsi="仿宋" w:eastAsia="仿宋"/>
          <w:color w:val="auto"/>
          <w:kern w:val="44"/>
          <w:szCs w:val="28"/>
          <w:lang w:val="en-US" w:eastAsia="zh-CN"/>
        </w:rPr>
        <w:t>90%，</w:t>
      </w:r>
      <w:r>
        <w:rPr>
          <w:rFonts w:hint="eastAsia" w:ascii="仿宋" w:hAnsi="仿宋" w:eastAsia="仿宋"/>
          <w:color w:val="auto"/>
          <w:kern w:val="44"/>
          <w:szCs w:val="28"/>
        </w:rPr>
        <w:t>该项目覆盖面广且预期效益重要，建议指标值</w:t>
      </w:r>
      <w:r>
        <w:rPr>
          <w:rFonts w:hint="eastAsia" w:ascii="仿宋" w:hAnsi="仿宋" w:eastAsia="仿宋"/>
          <w:color w:val="auto"/>
          <w:kern w:val="44"/>
          <w:szCs w:val="28"/>
          <w:lang w:eastAsia="zh-CN"/>
        </w:rPr>
        <w:t>设定为</w:t>
      </w:r>
      <w:r>
        <w:rPr>
          <w:rFonts w:hint="eastAsia" w:ascii="仿宋" w:hAnsi="仿宋" w:eastAsia="仿宋"/>
          <w:color w:val="auto"/>
          <w:kern w:val="44"/>
          <w:szCs w:val="28"/>
        </w:rPr>
        <w:t>95%以上。</w:t>
      </w:r>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44" w:name="_Toc25505"/>
      <w:r>
        <w:rPr>
          <w:color w:val="auto"/>
        </w:rPr>
        <w:t>4.</w:t>
      </w:r>
      <w:r>
        <w:rPr>
          <w:rFonts w:hint="eastAsia"/>
          <w:color w:val="auto"/>
        </w:rPr>
        <w:t>目标明确性分析</w:t>
      </w:r>
      <w:bookmarkEnd w:id="44"/>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将项目绩效目标细化分解为具体的绩效指标，设定较为清晰明确，个别指标不够细化。</w:t>
      </w:r>
      <w:r>
        <w:rPr>
          <w:rFonts w:hint="eastAsia" w:ascii="仿宋" w:hAnsi="仿宋" w:eastAsia="仿宋" w:cs="仿宋"/>
          <w:color w:val="auto"/>
          <w:kern w:val="44"/>
          <w:szCs w:val="28"/>
          <w:lang w:val="zh-CN"/>
        </w:rPr>
        <w:t>依据财政支出绩效评价管理暂行办法第十四条绩效目标应当符合以下要求：绩效目标应当从数量、质量、成本和时效等方面进行细化，尽量进行定量表述。</w:t>
      </w:r>
      <w:r>
        <w:rPr>
          <w:rFonts w:hint="eastAsia" w:ascii="仿宋" w:hAnsi="仿宋" w:eastAsia="仿宋" w:cs="仿宋"/>
          <w:color w:val="auto"/>
          <w:kern w:val="44"/>
          <w:szCs w:val="28"/>
        </w:rPr>
        <w:t>该项目未设置质量指标，</w:t>
      </w:r>
      <w:r>
        <w:rPr>
          <w:rFonts w:hint="eastAsia" w:ascii="仿宋" w:hAnsi="仿宋" w:eastAsia="仿宋"/>
          <w:color w:val="auto"/>
          <w:szCs w:val="28"/>
        </w:rPr>
        <w:t>应结合产出数量指标制定相应的质量指标，如：针对“举办各类主题百姓宣讲报告会”、“组建市级宣讲团培训市级宣讲员”、“出版《身边的正能量》作品集”等均应设计产出的质量指标。</w:t>
      </w:r>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45" w:name="_Toc11116"/>
      <w:r>
        <w:rPr>
          <w:rFonts w:hint="eastAsia"/>
          <w:color w:val="auto"/>
        </w:rPr>
        <w:t>5</w:t>
      </w:r>
      <w:r>
        <w:rPr>
          <w:color w:val="auto"/>
        </w:rPr>
        <w:t>.</w:t>
      </w:r>
      <w:r>
        <w:rPr>
          <w:rFonts w:hint="eastAsia"/>
          <w:color w:val="auto"/>
        </w:rPr>
        <w:t>资金投入情况</w:t>
      </w:r>
      <w:bookmarkEnd w:id="45"/>
    </w:p>
    <w:p>
      <w:pPr>
        <w:pageBreakBefore w:val="0"/>
        <w:kinsoku/>
        <w:wordWrap/>
        <w:overflowPunct/>
        <w:topLinePunct w:val="0"/>
        <w:autoSpaceDE/>
        <w:autoSpaceDN/>
        <w:bidi w:val="0"/>
        <w:adjustRightInd/>
        <w:snapToGrid/>
        <w:spacing w:line="520" w:lineRule="exact"/>
        <w:ind w:firstLine="560"/>
        <w:jc w:val="left"/>
        <w:textAlignment w:val="auto"/>
        <w:rPr>
          <w:rFonts w:hint="eastAsia" w:ascii="仿宋" w:hAnsi="仿宋" w:eastAsia="仿宋" w:cs="仿宋"/>
          <w:color w:val="auto"/>
          <w:szCs w:val="28"/>
        </w:rPr>
      </w:pPr>
      <w:r>
        <w:rPr>
          <w:rFonts w:hint="eastAsia" w:ascii="仿宋" w:hAnsi="仿宋" w:eastAsia="仿宋" w:cs="仿宋"/>
          <w:color w:val="auto"/>
          <w:szCs w:val="28"/>
        </w:rPr>
        <w:t>该项目资金总投入292.99万元，预算内容与项目工</w:t>
      </w:r>
      <w:r>
        <w:rPr>
          <w:rFonts w:hint="eastAsia" w:ascii="仿宋" w:hAnsi="仿宋" w:eastAsia="仿宋" w:cs="仿宋"/>
          <w:color w:val="auto"/>
          <w:kern w:val="0"/>
          <w:szCs w:val="28"/>
        </w:rPr>
        <w:t>作内容、工作任务相匹配；预算确定的项目资金量与工作任务相匹配</w:t>
      </w:r>
      <w:r>
        <w:rPr>
          <w:rFonts w:hint="eastAsia" w:ascii="仿宋" w:hAnsi="仿宋" w:eastAsia="仿宋" w:cs="仿宋"/>
          <w:color w:val="auto"/>
          <w:kern w:val="0"/>
          <w:szCs w:val="28"/>
          <w:lang w:eastAsia="zh-CN"/>
        </w:rPr>
        <w:t>，</w:t>
      </w:r>
      <w:r>
        <w:rPr>
          <w:rFonts w:hint="eastAsia" w:ascii="仿宋" w:hAnsi="仿宋" w:eastAsia="仿宋" w:cs="仿宋"/>
          <w:color w:val="auto"/>
          <w:szCs w:val="28"/>
        </w:rPr>
        <w:t>但在预算编制的准确性和精细化水平方面有待提高。</w:t>
      </w:r>
    </w:p>
    <w:p>
      <w:pPr>
        <w:pStyle w:val="4"/>
        <w:pageBreakBefore w:val="0"/>
        <w:kinsoku/>
        <w:wordWrap/>
        <w:overflowPunct/>
        <w:topLinePunct w:val="0"/>
        <w:autoSpaceDE/>
        <w:autoSpaceDN/>
        <w:bidi w:val="0"/>
        <w:adjustRightInd/>
        <w:snapToGrid/>
        <w:spacing w:line="520" w:lineRule="exact"/>
        <w:ind w:firstLine="562"/>
        <w:textAlignment w:val="auto"/>
        <w:rPr>
          <w:color w:val="auto"/>
        </w:rPr>
      </w:pPr>
      <w:bookmarkStart w:id="46" w:name="_Toc14840"/>
      <w:r>
        <w:rPr>
          <w:rFonts w:hint="eastAsia"/>
          <w:color w:val="auto"/>
        </w:rPr>
        <w:t>（二）项目过程情况</w:t>
      </w:r>
      <w:bookmarkEnd w:id="46"/>
    </w:p>
    <w:p>
      <w:pPr>
        <w:pStyle w:val="5"/>
        <w:pageBreakBefore w:val="0"/>
        <w:kinsoku/>
        <w:wordWrap/>
        <w:overflowPunct/>
        <w:topLinePunct w:val="0"/>
        <w:autoSpaceDE/>
        <w:autoSpaceDN/>
        <w:bidi w:val="0"/>
        <w:adjustRightInd/>
        <w:snapToGrid/>
        <w:spacing w:line="520" w:lineRule="exact"/>
        <w:ind w:firstLine="560"/>
        <w:textAlignment w:val="auto"/>
        <w:rPr>
          <w:color w:val="auto"/>
        </w:rPr>
      </w:pPr>
      <w:bookmarkStart w:id="47" w:name="_Toc17975"/>
      <w:r>
        <w:rPr>
          <w:color w:val="auto"/>
        </w:rPr>
        <w:t>1.</w:t>
      </w:r>
      <w:r>
        <w:rPr>
          <w:rFonts w:hint="eastAsia"/>
          <w:color w:val="auto"/>
        </w:rPr>
        <w:t>资金管理情况</w:t>
      </w:r>
      <w:bookmarkEnd w:id="47"/>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Cs w:val="28"/>
        </w:rPr>
      </w:pPr>
      <w:r>
        <w:rPr>
          <w:rFonts w:hint="eastAsia" w:ascii="仿宋" w:hAnsi="仿宋" w:eastAsia="仿宋" w:cs="仿宋"/>
          <w:color w:val="auto"/>
          <w:szCs w:val="28"/>
        </w:rPr>
        <w:t>该项目预算批复资金292.99万元，截至2023年12月31日，该项目实际支出资金280.052119万元，主要用于组团培训、举办骨干培训班、开展全市巡讲、双微平台运营、宣讲故事集出版、汇报片制作等。结余经费12.937881万元，预算执行率95.6%。</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Cs w:val="28"/>
        </w:rPr>
      </w:pPr>
      <w:r>
        <w:rPr>
          <w:rFonts w:hint="eastAsia" w:ascii="仿宋" w:hAnsi="仿宋" w:eastAsia="仿宋" w:cs="仿宋"/>
          <w:color w:val="auto"/>
          <w:szCs w:val="28"/>
        </w:rPr>
        <w:t>资金使用符合国家财经法规和单位的财务管理制度、</w:t>
      </w:r>
      <w:r>
        <w:rPr>
          <w:rFonts w:hint="eastAsia" w:ascii="仿宋" w:hAnsi="仿宋" w:eastAsia="仿宋"/>
          <w:color w:val="auto"/>
          <w:szCs w:val="28"/>
        </w:rPr>
        <w:t>非课题项目经费使用管理办法、</w:t>
      </w:r>
      <w:r>
        <w:rPr>
          <w:rFonts w:hint="eastAsia" w:ascii="仿宋" w:hAnsi="仿宋" w:eastAsia="仿宋" w:cs="仿宋"/>
          <w:color w:val="auto"/>
          <w:szCs w:val="28"/>
        </w:rPr>
        <w:t>合同管理制度以及单位内控手册的规定。签订合同时有完整的审批手续《北京市社会科学院合同审批表》以及法定代表人授权委托书，资金支付</w:t>
      </w:r>
      <w:r>
        <w:rPr>
          <w:rFonts w:hint="eastAsia" w:ascii="仿宋" w:hAnsi="仿宋" w:eastAsia="仿宋"/>
          <w:color w:val="auto"/>
          <w:szCs w:val="28"/>
        </w:rPr>
        <w:t>有完整的审批手续</w:t>
      </w:r>
      <w:r>
        <w:rPr>
          <w:rFonts w:hint="eastAsia" w:ascii="仿宋" w:hAnsi="仿宋" w:eastAsia="仿宋" w:cs="仿宋"/>
          <w:color w:val="auto"/>
          <w:szCs w:val="28"/>
        </w:rPr>
        <w:t>，</w:t>
      </w:r>
      <w:r>
        <w:rPr>
          <w:rFonts w:hint="eastAsia" w:ascii="仿宋" w:hAnsi="仿宋" w:eastAsia="仿宋"/>
          <w:color w:val="auto"/>
          <w:szCs w:val="28"/>
        </w:rPr>
        <w:t>实行课题</w:t>
      </w:r>
      <w:r>
        <w:rPr>
          <w:rFonts w:ascii="仿宋" w:hAnsi="仿宋" w:eastAsia="仿宋"/>
          <w:color w:val="auto"/>
          <w:szCs w:val="28"/>
        </w:rPr>
        <w:t>负责人审核、</w:t>
      </w:r>
      <w:r>
        <w:rPr>
          <w:rFonts w:hint="eastAsia" w:ascii="仿宋" w:hAnsi="仿宋" w:eastAsia="仿宋"/>
          <w:color w:val="auto"/>
          <w:szCs w:val="28"/>
        </w:rPr>
        <w:t>部门负责人审核、主管院领导审批、院领导审批、院长办公会</w:t>
      </w:r>
      <w:r>
        <w:rPr>
          <w:rFonts w:hint="eastAsia" w:ascii="仿宋" w:hAnsi="仿宋" w:eastAsia="仿宋"/>
          <w:color w:val="auto"/>
          <w:szCs w:val="28"/>
          <w:lang w:eastAsia="zh-CN"/>
        </w:rPr>
        <w:t>或党组会</w:t>
      </w:r>
      <w:r>
        <w:rPr>
          <w:rFonts w:hint="eastAsia" w:ascii="仿宋" w:hAnsi="仿宋" w:eastAsia="仿宋"/>
          <w:color w:val="auto"/>
          <w:szCs w:val="28"/>
        </w:rPr>
        <w:t>审定的原则</w:t>
      </w:r>
      <w:r>
        <w:rPr>
          <w:rFonts w:hint="eastAsia" w:ascii="仿宋" w:hAnsi="仿宋" w:eastAsia="仿宋" w:cs="仿宋"/>
          <w:color w:val="auto"/>
          <w:szCs w:val="28"/>
        </w:rPr>
        <w:t>。</w:t>
      </w:r>
    </w:p>
    <w:p>
      <w:pPr>
        <w:pStyle w:val="5"/>
        <w:pageBreakBefore w:val="0"/>
        <w:kinsoku/>
        <w:wordWrap/>
        <w:overflowPunct/>
        <w:topLinePunct w:val="0"/>
        <w:autoSpaceDE/>
        <w:autoSpaceDN/>
        <w:bidi w:val="0"/>
        <w:adjustRightInd/>
        <w:snapToGrid/>
        <w:spacing w:line="520" w:lineRule="exact"/>
        <w:ind w:firstLine="560"/>
        <w:textAlignment w:val="auto"/>
        <w:rPr>
          <w:rFonts w:hint="eastAsia"/>
          <w:color w:val="auto"/>
        </w:rPr>
      </w:pPr>
      <w:bookmarkStart w:id="48" w:name="_Toc31934"/>
      <w:r>
        <w:rPr>
          <w:color w:val="auto"/>
        </w:rPr>
        <w:t>2.</w:t>
      </w:r>
      <w:r>
        <w:rPr>
          <w:rFonts w:hint="eastAsia"/>
          <w:color w:val="auto"/>
        </w:rPr>
        <w:t>组织实施情况</w:t>
      </w:r>
      <w:bookmarkEnd w:id="48"/>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（1）管理制度健全性</w:t>
      </w:r>
    </w:p>
    <w:p>
      <w:pPr>
        <w:spacing w:line="520" w:lineRule="exact"/>
        <w:ind w:right="140" w:rightChars="50" w:firstLine="555" w:firstLineChars="0"/>
        <w:rPr>
          <w:rFonts w:hint="eastAsia" w:ascii="仿宋" w:hAnsi="仿宋" w:eastAsia="仿宋"/>
          <w:szCs w:val="28"/>
        </w:rPr>
      </w:pPr>
      <w:r>
        <w:rPr>
          <w:rFonts w:hint="eastAsia" w:ascii="仿宋" w:hAnsi="仿宋" w:eastAsia="仿宋"/>
          <w:szCs w:val="28"/>
        </w:rPr>
        <w:t>该项目按照社科院的《北京市社会科学院非课题项目经费使用管理办法（试行）》《北京市社会科学院财政性项目经费报销管理补充规定》《北京市社会科学院政府采购管理办法》《北京市社会科学院合同管理办法（试行）》《北京市社会科学院内部控制手册》等内部管理制度执行；针对该项目百姓宣讲处还制定了</w:t>
      </w:r>
      <w:r>
        <w:rPr>
          <w:rFonts w:hint="eastAsia" w:ascii="仿宋" w:hAnsi="仿宋" w:eastAsia="仿宋" w:cs="仿宋"/>
          <w:szCs w:val="28"/>
        </w:rPr>
        <w:t>《北京市百姓宣讲工作经费管理办法》《百姓宣讲处〈身边的正能量〉出版印制管理办法》，</w:t>
      </w:r>
      <w:r>
        <w:rPr>
          <w:rFonts w:hint="eastAsia" w:ascii="仿宋" w:hAnsi="仿宋" w:eastAsia="仿宋"/>
          <w:szCs w:val="28"/>
        </w:rPr>
        <w:t>制度比较健全。</w:t>
      </w:r>
    </w:p>
    <w:p>
      <w:pPr>
        <w:spacing w:line="520" w:lineRule="exact"/>
        <w:ind w:firstLine="560"/>
        <w:rPr>
          <w:rFonts w:ascii="仿宋" w:hAnsi="仿宋" w:eastAsia="仿宋"/>
          <w:color w:val="auto"/>
          <w:szCs w:val="28"/>
        </w:rPr>
      </w:pPr>
      <w:r>
        <w:rPr>
          <w:rFonts w:hint="eastAsia" w:ascii="仿宋" w:hAnsi="仿宋" w:eastAsia="仿宋"/>
          <w:szCs w:val="28"/>
        </w:rPr>
        <w:t>为加强项目管理，项目主责处室百姓宣讲处制定了</w:t>
      </w:r>
      <w:r>
        <w:rPr>
          <w:rFonts w:hint="eastAsia" w:ascii="仿宋" w:hAnsi="仿宋" w:eastAsia="仿宋" w:cs="仿宋"/>
          <w:szCs w:val="28"/>
        </w:rPr>
        <w:t>《宣讲活动工作管理办法》《百姓宣讲工作组团带团工作流程》《百姓宣讲市级示范团宣讲员自律公约》《“百姓宣讲专家” 权利义务告知书》；为</w:t>
      </w:r>
      <w:r>
        <w:rPr>
          <w:rFonts w:hint="eastAsia" w:ascii="仿宋" w:hAnsi="仿宋" w:eastAsia="仿宋"/>
          <w:szCs w:val="28"/>
        </w:rPr>
        <w:t>统筹做好2023年全市百姓宣讲工作，市委宣传部、市社科院（市委讲师团）联合印发《2023年北京市百姓宣讲工作实施方案》。年底评选优秀宣讲员、优秀宣讲团。</w:t>
      </w:r>
    </w:p>
    <w:p>
      <w:pPr>
        <w:pStyle w:val="7"/>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（2）制度执行有效性</w:t>
      </w:r>
    </w:p>
    <w:p>
      <w:pPr>
        <w:pStyle w:val="7"/>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在项目的实施过程中，按照北京市社会科学院的相关制度执行，逐步完善宣讲处的工作流程，加强项目执行监督，该项目实施流程较为清晰，项目履行了政府采购、合同签署、验收等工作流程。但该工作的监督检查不明晰。</w:t>
      </w:r>
      <w:bookmarkStart w:id="49" w:name="_Toc32397"/>
    </w:p>
    <w:p>
      <w:pPr>
        <w:pStyle w:val="7"/>
        <w:pageBreakBefore w:val="0"/>
        <w:numPr>
          <w:ilvl w:val="0"/>
          <w:numId w:val="2"/>
        </w:numPr>
        <w:kinsoku/>
        <w:wordWrap/>
        <w:overflowPunct/>
        <w:topLinePunct w:val="0"/>
        <w:autoSpaceDE/>
        <w:autoSpaceDN/>
        <w:bidi w:val="0"/>
        <w:adjustRightInd/>
        <w:snapToGrid/>
        <w:spacing w:line="520" w:lineRule="exact"/>
        <w:ind w:firstLine="560"/>
        <w:textAlignment w:val="auto"/>
        <w:rPr>
          <w:rFonts w:eastAsia="仿宋_GB2312"/>
          <w:color w:val="auto"/>
        </w:rPr>
      </w:pPr>
      <w:r>
        <w:rPr>
          <w:rFonts w:hint="eastAsia" w:ascii="仿宋" w:hAnsi="仿宋" w:eastAsia="仿宋"/>
          <w:b w:val="0"/>
          <w:color w:val="auto"/>
          <w:kern w:val="44"/>
          <w:szCs w:val="28"/>
        </w:rPr>
        <w:t>项目产出情况</w:t>
      </w:r>
      <w:bookmarkEnd w:id="49"/>
      <w:bookmarkStart w:id="50" w:name="_Toc9061"/>
    </w:p>
    <w:bookmarkEnd w:id="50"/>
    <w:p>
      <w:pPr>
        <w:pStyle w:val="5"/>
        <w:spacing w:line="520" w:lineRule="exact"/>
        <w:ind w:firstLine="560"/>
        <w:rPr>
          <w:rFonts w:eastAsia="仿宋_GB2312"/>
        </w:rPr>
      </w:pPr>
      <w:bookmarkStart w:id="51" w:name="_Toc14265"/>
      <w:r>
        <w:rPr>
          <w:rFonts w:hint="eastAsia"/>
        </w:rPr>
        <w:t>1</w:t>
      </w:r>
      <w:r>
        <w:t>.</w:t>
      </w:r>
      <w:r>
        <w:rPr>
          <w:rFonts w:hint="eastAsia"/>
        </w:rPr>
        <w:t>项目产出数量完成情况</w:t>
      </w:r>
    </w:p>
    <w:p>
      <w:pPr>
        <w:keepNext/>
        <w:keepLines/>
        <w:spacing w:line="520" w:lineRule="exact"/>
        <w:ind w:firstLine="560"/>
        <w:rPr>
          <w:rFonts w:hint="eastAsia" w:ascii="仿宋" w:hAnsi="仿宋" w:eastAsia="仿宋"/>
          <w:szCs w:val="28"/>
        </w:rPr>
      </w:pPr>
      <w:r>
        <w:rPr>
          <w:rFonts w:hint="eastAsia" w:ascii="仿宋" w:hAnsi="仿宋" w:eastAsia="仿宋" w:cs="仿宋"/>
          <w:szCs w:val="28"/>
        </w:rPr>
        <w:t>在院党组的正确领导下，</w:t>
      </w:r>
      <w:r>
        <w:rPr>
          <w:rFonts w:hint="eastAsia" w:ascii="仿宋" w:hAnsi="仿宋" w:eastAsia="仿宋"/>
          <w:sz w:val="28"/>
          <w:szCs w:val="28"/>
        </w:rPr>
        <w:t>围绕学习贯彻党的二十大精神和学习贯彻习近平新时代中国特色社会主义思想主题教育，</w:t>
      </w:r>
      <w:r>
        <w:rPr>
          <w:rFonts w:hint="eastAsia" w:ascii="仿宋" w:hAnsi="仿宋" w:eastAsia="仿宋"/>
          <w:szCs w:val="28"/>
        </w:rPr>
        <w:t>百姓宣讲处</w:t>
      </w:r>
      <w:r>
        <w:rPr>
          <w:rFonts w:hint="eastAsia" w:ascii="仿宋" w:hAnsi="仿宋" w:eastAsia="仿宋"/>
          <w:sz w:val="28"/>
          <w:szCs w:val="28"/>
        </w:rPr>
        <w:t>坚持群众主体地位，精心组建“启航新征程”“建功新时代”“强国复兴有我”等百姓宣讲市级示范团，全年开展两百</w:t>
      </w:r>
      <w:r>
        <w:rPr>
          <w:rFonts w:hint="eastAsia" w:ascii="仿宋" w:hAnsi="仿宋" w:eastAsia="仿宋"/>
          <w:szCs w:val="28"/>
        </w:rPr>
        <w:t>余</w:t>
      </w:r>
      <w:r>
        <w:rPr>
          <w:rFonts w:hint="eastAsia" w:ascii="仿宋" w:hAnsi="仿宋" w:eastAsia="仿宋"/>
          <w:sz w:val="28"/>
          <w:szCs w:val="28"/>
        </w:rPr>
        <w:t>场示范宣讲，</w:t>
      </w:r>
      <w:r>
        <w:rPr>
          <w:rFonts w:hint="eastAsia" w:ascii="仿宋" w:hAnsi="仿宋" w:eastAsia="仿宋"/>
          <w:szCs w:val="28"/>
        </w:rPr>
        <w:t>产出数量指标全部完成。</w:t>
      </w:r>
      <w:r>
        <w:rPr>
          <w:rFonts w:hint="eastAsia" w:ascii="仿宋" w:hAnsi="仿宋"/>
          <w:szCs w:val="28"/>
        </w:rPr>
        <w:t>（1）</w:t>
      </w:r>
      <w:r>
        <w:rPr>
          <w:rFonts w:hint="eastAsia" w:ascii="仿宋" w:hAnsi="仿宋" w:eastAsia="仿宋"/>
          <w:szCs w:val="28"/>
        </w:rPr>
        <w:t>举办市级主题百姓宣讲报告会226场</w:t>
      </w:r>
      <w:r>
        <w:rPr>
          <w:rFonts w:hint="eastAsia" w:ascii="仿宋" w:hAnsi="仿宋"/>
          <w:szCs w:val="28"/>
        </w:rPr>
        <w:t>；（2）参加年度调研汇讲暨骨干培训班95名宣讲员，</w:t>
      </w:r>
      <w:r>
        <w:rPr>
          <w:rFonts w:hint="eastAsia" w:ascii="仿宋" w:hAnsi="仿宋" w:eastAsia="仿宋"/>
          <w:szCs w:val="28"/>
        </w:rPr>
        <w:t>组建市级宣讲团培训市级宣讲员86人</w:t>
      </w:r>
      <w:r>
        <w:rPr>
          <w:rFonts w:hint="eastAsia" w:ascii="仿宋" w:hAnsi="仿宋"/>
          <w:szCs w:val="28"/>
        </w:rPr>
        <w:t>；（3）</w:t>
      </w:r>
      <w:r>
        <w:rPr>
          <w:rFonts w:hint="eastAsia" w:ascii="仿宋" w:hAnsi="仿宋" w:eastAsia="仿宋"/>
          <w:szCs w:val="28"/>
        </w:rPr>
        <w:t>出版《身边的正能量》2600册</w:t>
      </w:r>
      <w:r>
        <w:rPr>
          <w:rFonts w:hint="eastAsia" w:ascii="仿宋" w:hAnsi="仿宋"/>
          <w:szCs w:val="28"/>
        </w:rPr>
        <w:t>；（4）</w:t>
      </w:r>
      <w:r>
        <w:rPr>
          <w:rFonts w:hint="eastAsia" w:ascii="仿宋" w:hAnsi="仿宋" w:eastAsia="仿宋"/>
          <w:szCs w:val="28"/>
        </w:rPr>
        <w:t>举办各类主题百姓宣讲报告会覆盖面3183万人次。</w:t>
      </w:r>
    </w:p>
    <w:p>
      <w:pPr>
        <w:pStyle w:val="5"/>
        <w:spacing w:line="520" w:lineRule="exact"/>
        <w:ind w:firstLine="560"/>
        <w:rPr>
          <w:rFonts w:hint="eastAsia"/>
        </w:rPr>
      </w:pPr>
      <w:bookmarkStart w:id="52" w:name="_Toc9922"/>
      <w:r>
        <w:rPr>
          <w:rFonts w:hint="eastAsia"/>
        </w:rPr>
        <w:t>2.项目完成质量完成情况</w:t>
      </w:r>
      <w:bookmarkEnd w:id="52"/>
    </w:p>
    <w:p>
      <w:pPr>
        <w:spacing w:line="520" w:lineRule="exact"/>
        <w:ind w:firstLine="560"/>
        <w:rPr>
          <w:rFonts w:ascii="仿宋" w:hAnsi="仿宋" w:eastAsia="仿宋"/>
          <w:szCs w:val="28"/>
          <w:highlight w:val="none"/>
        </w:rPr>
      </w:pPr>
      <w:r>
        <w:rPr>
          <w:rFonts w:hint="eastAsia" w:ascii="仿宋" w:hAnsi="仿宋" w:eastAsia="仿宋" w:cs="仿宋"/>
          <w:szCs w:val="28"/>
        </w:rPr>
        <w:t>按照年度宣讲方案要求，百姓宣讲立足首都特色，坚持首善标准，紧紧围绕学习宣传贯彻党的二十大这条主线，守正创新、锐意进取，高标准组建市级示范团，高水平推进精品化、精准化宣讲，不断推动党的创新理论大众化、通俗化传播，</w:t>
      </w:r>
      <w:r>
        <w:rPr>
          <w:rFonts w:hint="eastAsia" w:ascii="仿宋" w:hAnsi="仿宋" w:eastAsia="仿宋"/>
          <w:szCs w:val="28"/>
        </w:rPr>
        <w:t>按质按量完成全年工作任务。（1）组建“启航新征程”、“建功新时代”、“强国复兴有我”三个百姓宣讲市级示范团，通过线上与线下结合、现场与视频结合云宣讲开展三轮巡讲，第一轮三个分团一周时间全市巡讲全覆盖，第二轮以一周一系列的方式，开展“七进”系列巡讲，将党的创新理论讲到田间地头，讲到百姓心中，第三轮录制宣讲视频，在公交、地铁、楼宇电视等平台开展云宣讲，构建全方位、立体式传播矩阵。（2）</w:t>
      </w:r>
      <w:r>
        <w:rPr>
          <w:rFonts w:hint="eastAsia" w:ascii="仿宋" w:hAnsi="仿宋" w:eastAsia="仿宋" w:cs="仿宋"/>
          <w:kern w:val="0"/>
          <w:szCs w:val="28"/>
        </w:rPr>
        <w:t>2023年8月举办了2023年度北京市百姓宣讲调研汇讲暨骨干培训班，来自全市各区各系统19个代表队、95名宣讲员参加年度汇讲</w:t>
      </w:r>
      <w:r>
        <w:rPr>
          <w:rFonts w:hint="eastAsia" w:ascii="仿宋" w:hAnsi="仿宋" w:eastAsia="仿宋"/>
          <w:szCs w:val="28"/>
        </w:rPr>
        <w:t>，暴晓燕等60名同志获评“市级</w:t>
      </w:r>
      <w:r>
        <w:rPr>
          <w:rFonts w:hint="eastAsia" w:ascii="仿宋" w:hAnsi="仿宋" w:eastAsia="仿宋"/>
          <w:szCs w:val="28"/>
          <w:highlight w:val="none"/>
        </w:rPr>
        <w:t>优秀宣讲员”。（3）不断加大新媒体传播完善网络矩阵建设，“北京宣讲”微信公众号，“百姓身边事”官方微博账号的运营管理</w:t>
      </w:r>
      <w:r>
        <w:rPr>
          <w:rFonts w:hint="eastAsia" w:ascii="仿宋" w:hAnsi="仿宋" w:eastAsia="仿宋"/>
          <w:szCs w:val="28"/>
          <w:highlight w:val="none"/>
          <w:lang w:eastAsia="zh-CN"/>
        </w:rPr>
        <w:t>良好</w:t>
      </w:r>
      <w:r>
        <w:rPr>
          <w:rFonts w:hint="eastAsia" w:ascii="仿宋" w:hAnsi="仿宋" w:eastAsia="仿宋"/>
          <w:szCs w:val="28"/>
          <w:highlight w:val="none"/>
        </w:rPr>
        <w:t>。人民日报、光明日报、新华社、北京日报、新京报等中央和市属媒体对百姓宣讲活动进行多次密集报道，市委宣传部4次印发活动专刊在宣传系统中推广。</w:t>
      </w:r>
    </w:p>
    <w:p>
      <w:pPr>
        <w:pStyle w:val="5"/>
        <w:spacing w:line="520" w:lineRule="exact"/>
        <w:ind w:firstLine="560"/>
      </w:pPr>
      <w:bookmarkStart w:id="53" w:name="_Toc13555"/>
      <w:r>
        <w:t>3.</w:t>
      </w:r>
      <w:r>
        <w:rPr>
          <w:rFonts w:hint="eastAsia"/>
        </w:rPr>
        <w:t>时效指标完成情况</w:t>
      </w:r>
      <w:bookmarkEnd w:id="53"/>
    </w:p>
    <w:p>
      <w:pPr>
        <w:spacing w:line="520" w:lineRule="exact"/>
        <w:ind w:firstLine="560"/>
        <w:rPr>
          <w:rFonts w:hint="eastAsia" w:ascii="仿宋" w:hAnsi="仿宋" w:eastAsia="仿宋"/>
          <w:szCs w:val="28"/>
        </w:rPr>
      </w:pPr>
      <w:r>
        <w:rPr>
          <w:rFonts w:hint="eastAsia" w:ascii="仿宋" w:hAnsi="仿宋" w:eastAsia="仿宋"/>
          <w:szCs w:val="28"/>
        </w:rPr>
        <w:t>该项目实施严格按照时间完成。在2023年组建了“强国复兴有我”“启航新征程”“建功新时代”百姓宣讲市级示范团；按时保质保量完成了全年主题百姓宣讲任务。</w:t>
      </w:r>
    </w:p>
    <w:p>
      <w:pPr>
        <w:pStyle w:val="5"/>
        <w:pageBreakBefore w:val="0"/>
        <w:kinsoku/>
        <w:wordWrap/>
        <w:overflowPunct/>
        <w:topLinePunct w:val="0"/>
        <w:autoSpaceDE/>
        <w:autoSpaceDN/>
        <w:bidi w:val="0"/>
        <w:adjustRightInd/>
        <w:snapToGrid/>
        <w:spacing w:line="520" w:lineRule="exact"/>
        <w:ind w:firstLine="560"/>
        <w:textAlignment w:val="auto"/>
        <w:rPr>
          <w:rFonts w:eastAsia="仿宋_GB2312"/>
          <w:color w:val="auto"/>
        </w:rPr>
      </w:pPr>
      <w:r>
        <w:rPr>
          <w:rFonts w:hint="eastAsia"/>
          <w:color w:val="auto"/>
        </w:rPr>
        <w:t>4</w:t>
      </w:r>
      <w:r>
        <w:rPr>
          <w:color w:val="auto"/>
        </w:rPr>
        <w:t>.</w:t>
      </w:r>
      <w:r>
        <w:rPr>
          <w:rFonts w:hint="eastAsia"/>
          <w:color w:val="auto"/>
        </w:rPr>
        <w:t>项目产出成本完成情况</w:t>
      </w:r>
      <w:bookmarkEnd w:id="51"/>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olor w:val="auto"/>
          <w:szCs w:val="28"/>
        </w:rPr>
      </w:pPr>
      <w:r>
        <w:rPr>
          <w:rFonts w:hint="eastAsia" w:ascii="仿宋" w:hAnsi="仿宋" w:eastAsia="仿宋"/>
          <w:color w:val="auto"/>
          <w:szCs w:val="28"/>
        </w:rPr>
        <w:t>项目年成本控制在292.99万元以内，实际支出</w:t>
      </w:r>
      <w:r>
        <w:rPr>
          <w:rFonts w:hint="eastAsia" w:ascii="仿宋" w:hAnsi="仿宋" w:eastAsia="仿宋" w:cs="仿宋"/>
          <w:color w:val="auto"/>
          <w:szCs w:val="28"/>
        </w:rPr>
        <w:t>280.052119万元，</w:t>
      </w:r>
      <w:r>
        <w:rPr>
          <w:rFonts w:hint="eastAsia" w:ascii="仿宋" w:hAnsi="仿宋" w:eastAsia="仿宋"/>
          <w:color w:val="auto"/>
          <w:szCs w:val="28"/>
        </w:rPr>
        <w:t>成本节约率=[（计划成本-实际成本）/计划成本]*100%=（292.99-</w:t>
      </w:r>
      <w:r>
        <w:rPr>
          <w:rFonts w:hint="eastAsia" w:ascii="仿宋" w:hAnsi="仿宋" w:eastAsia="仿宋" w:cs="仿宋"/>
          <w:color w:val="auto"/>
          <w:szCs w:val="28"/>
        </w:rPr>
        <w:t>280.052119</w:t>
      </w:r>
      <w:r>
        <w:rPr>
          <w:rFonts w:hint="eastAsia" w:ascii="仿宋" w:hAnsi="仿宋" w:eastAsia="仿宋"/>
          <w:color w:val="auto"/>
          <w:szCs w:val="28"/>
        </w:rPr>
        <w:t>）/292.99*</w:t>
      </w:r>
      <w:r>
        <w:rPr>
          <w:rFonts w:ascii="仿宋" w:hAnsi="仿宋" w:eastAsia="仿宋"/>
          <w:color w:val="auto"/>
          <w:szCs w:val="28"/>
        </w:rPr>
        <w:t>100</w:t>
      </w:r>
      <w:r>
        <w:rPr>
          <w:rFonts w:hint="eastAsia" w:ascii="仿宋" w:hAnsi="仿宋" w:eastAsia="仿宋"/>
          <w:color w:val="auto"/>
          <w:szCs w:val="28"/>
        </w:rPr>
        <w:t>%=4.42%。</w:t>
      </w:r>
      <w:bookmarkStart w:id="54" w:name="_Toc1229"/>
    </w:p>
    <w:p>
      <w:pPr>
        <w:pageBreakBefore w:val="0"/>
        <w:kinsoku/>
        <w:wordWrap/>
        <w:overflowPunct/>
        <w:topLinePunct w:val="0"/>
        <w:autoSpaceDE/>
        <w:autoSpaceDN/>
        <w:bidi w:val="0"/>
        <w:adjustRightInd/>
        <w:snapToGrid/>
        <w:spacing w:line="520" w:lineRule="exact"/>
        <w:ind w:firstLine="560"/>
        <w:textAlignment w:val="auto"/>
        <w:rPr>
          <w:rFonts w:hint="eastAsia"/>
          <w:color w:val="auto"/>
        </w:rPr>
      </w:pPr>
      <w:r>
        <w:rPr>
          <w:rFonts w:hint="eastAsia"/>
          <w:color w:val="auto"/>
        </w:rPr>
        <w:t>（四）项目效益情况</w:t>
      </w:r>
      <w:bookmarkEnd w:id="54"/>
      <w:bookmarkStart w:id="55" w:name="_Toc17677"/>
    </w:p>
    <w:bookmarkEnd w:id="55"/>
    <w:p>
      <w:pPr>
        <w:pStyle w:val="5"/>
        <w:spacing w:line="520" w:lineRule="exact"/>
        <w:ind w:firstLine="560"/>
        <w:rPr>
          <w:rFonts w:ascii="仿宋" w:hAnsi="仿宋"/>
          <w:szCs w:val="22"/>
        </w:rPr>
      </w:pPr>
      <w:r>
        <w:rPr>
          <w:rFonts w:hint="eastAsia" w:ascii="仿宋" w:hAnsi="仿宋"/>
          <w:szCs w:val="22"/>
        </w:rPr>
        <w:t>1.社会效益以及可持续影响</w:t>
      </w:r>
    </w:p>
    <w:p>
      <w:pPr>
        <w:keepNext/>
        <w:keepLines/>
        <w:spacing w:line="520" w:lineRule="exact"/>
        <w:ind w:firstLine="560"/>
        <w:rPr>
          <w:rFonts w:hint="eastAsia" w:ascii="仿宋" w:hAnsi="仿宋" w:eastAsia="仿宋"/>
          <w:bCs/>
        </w:rPr>
      </w:pPr>
      <w:r>
        <w:rPr>
          <w:rFonts w:hint="eastAsia" w:ascii="仿宋" w:hAnsi="仿宋" w:eastAsia="仿宋"/>
          <w:bCs/>
        </w:rPr>
        <w:t>（1）社会效益指标基本完成。在院党组的正确领导下，百姓宣讲持续推进党的二十大精神学习宣传贯彻走深走实。</w:t>
      </w:r>
      <w:r>
        <w:rPr>
          <w:rFonts w:hint="eastAsia" w:ascii="仿宋" w:hAnsi="仿宋" w:eastAsia="仿宋"/>
          <w:bCs/>
          <w:sz w:val="28"/>
          <w:szCs w:val="22"/>
        </w:rPr>
        <w:t>“强国复兴有我”百姓宣讲市级示范团</w:t>
      </w:r>
      <w:r>
        <w:rPr>
          <w:rFonts w:hint="eastAsia" w:ascii="仿宋" w:hAnsi="仿宋" w:eastAsia="仿宋"/>
          <w:bCs/>
        </w:rPr>
        <w:t>深入全市开展巡讲，</w:t>
      </w:r>
      <w:r>
        <w:rPr>
          <w:rFonts w:hint="eastAsia" w:ascii="仿宋" w:hAnsi="仿宋" w:eastAsia="仿宋"/>
          <w:bCs/>
          <w:sz w:val="28"/>
          <w:szCs w:val="22"/>
        </w:rPr>
        <w:t>实现各区各系统全覆盖。“启航新征程”市级示范团走进中国教育电视台，</w:t>
      </w:r>
      <w:r>
        <w:rPr>
          <w:rFonts w:hint="eastAsia" w:ascii="仿宋" w:hAnsi="仿宋" w:eastAsia="仿宋"/>
          <w:bCs/>
        </w:rPr>
        <w:t>156所高校通过云端收听宣讲，</w:t>
      </w:r>
      <w:r>
        <w:rPr>
          <w:rFonts w:hint="eastAsia" w:ascii="仿宋" w:hAnsi="仿宋" w:eastAsia="仿宋"/>
          <w:bCs/>
          <w:sz w:val="28"/>
          <w:szCs w:val="22"/>
        </w:rPr>
        <w:t>首次实现全国高校全覆盖。</w:t>
      </w:r>
      <w:r>
        <w:rPr>
          <w:rFonts w:hint="eastAsia" w:ascii="仿宋" w:hAnsi="仿宋" w:eastAsia="仿宋"/>
          <w:bCs/>
        </w:rPr>
        <w:t>北京冬奥精神宣讲团走进吉林、新疆、青海、西藏、天津等省区市宣讲。“建功新时代”百姓宣讲市级示范团走进首都高校举办宣讲报告会、座谈会40余场。百姓宣讲活动引导、传播正能量，引领社会舆论环境，持续推进党的二十大精神学习宣传贯彻走深走实，助力主题教育形成全方位多层次常态化的学习氛围、社会氛围和舆论氛围。</w:t>
      </w:r>
    </w:p>
    <w:p>
      <w:pPr>
        <w:spacing w:line="520" w:lineRule="exact"/>
        <w:ind w:firstLine="560"/>
        <w:rPr>
          <w:rFonts w:hint="eastAsia" w:ascii="仿宋" w:hAnsi="仿宋" w:eastAsia="仿宋"/>
          <w:bCs/>
        </w:rPr>
      </w:pPr>
      <w:r>
        <w:rPr>
          <w:rFonts w:hint="eastAsia" w:ascii="仿宋" w:hAnsi="仿宋" w:eastAsia="仿宋"/>
          <w:bCs/>
        </w:rPr>
        <w:t>（2）具有可持续影响。坚持面对面宣讲与心贴心交流相结合，集中组织党的二十大代表、全国劳动模范、北京榜样、行业先进代表等百姓宣讲员走进高校开展宣讲报告和座谈交流，以身边故事、榜样力量和青春风采为首都高校师生呈现生动而深刻的大思政课。“建功新时代”百姓宣讲团系列宣讲活动在首都高校师生中产生良好反响。市、区、街道（乡镇）、社区（村）四级宣讲体系扎实，市级示范团全年开展报告会226场，线上线下受众3183万人，引领指导全市各区（系统）</w:t>
      </w:r>
      <w:r>
        <w:rPr>
          <w:rFonts w:hint="eastAsia" w:ascii="仿宋" w:hAnsi="仿宋" w:eastAsia="仿宋"/>
          <w:bCs/>
          <w:kern w:val="44"/>
          <w:szCs w:val="28"/>
        </w:rPr>
        <w:t>开展各级各类百姓宣讲活动9517场，线上线下受众701.8万人次</w:t>
      </w:r>
      <w:r>
        <w:rPr>
          <w:rFonts w:hint="eastAsia" w:ascii="仿宋_GB2312"/>
          <w:szCs w:val="28"/>
        </w:rPr>
        <w:t>。</w:t>
      </w:r>
      <w:r>
        <w:rPr>
          <w:rFonts w:hint="eastAsia" w:ascii="仿宋" w:hAnsi="仿宋" w:eastAsia="仿宋"/>
          <w:bCs/>
        </w:rPr>
        <w:t>同时，采取云宣讲与短视频相结合的方式，通过北京时间新媒体矩阵、北京电视台、学习强国、“百姓身边事儿”官方微博等媒体平台，全市公交、地铁、楼宇电视等公共空间开展云宣讲、云直播，扩大百姓宣讲的覆盖面和影响力。</w:t>
      </w:r>
    </w:p>
    <w:p>
      <w:pPr>
        <w:spacing w:line="520" w:lineRule="exact"/>
        <w:ind w:firstLine="560"/>
        <w:outlineLvl w:val="2"/>
        <w:rPr>
          <w:rFonts w:hint="eastAsia"/>
        </w:rPr>
      </w:pPr>
      <w:bookmarkStart w:id="56" w:name="_Toc22212"/>
      <w:r>
        <w:rPr>
          <w:rFonts w:hint="eastAsia"/>
        </w:rPr>
        <w:t>2</w:t>
      </w:r>
      <w:r>
        <w:t>.</w:t>
      </w:r>
      <w:r>
        <w:rPr>
          <w:rFonts w:hint="eastAsia"/>
        </w:rPr>
        <w:t>服务对象满意度</w:t>
      </w:r>
      <w:bookmarkEnd w:id="56"/>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bCs/>
          <w:sz w:val="28"/>
          <w:szCs w:val="22"/>
        </w:rPr>
        <w:t>为深入学习贯彻习近平新时代中国特色社会主义思想，结合全市主题教育活动，市社科院发挥百姓宣讲“冒热气、接地气、聚人气”的特色优势，组建“强国复兴有我”等多个百姓宣讲市级示范团，</w:t>
      </w:r>
      <w:r>
        <w:rPr>
          <w:rFonts w:hint="eastAsia" w:ascii="仿宋" w:hAnsi="仿宋" w:eastAsia="仿宋" w:cs="Times New Roman"/>
          <w:bCs/>
          <w:sz w:val="28"/>
          <w:szCs w:val="22"/>
        </w:rPr>
        <w:t>通过市级示范宣讲和四级体系联动宣讲、全市巡讲和“七进”特色系列宣讲统筹推进，实现各区各系统全覆盖</w:t>
      </w:r>
      <w:r>
        <w:rPr>
          <w:rFonts w:hint="eastAsia" w:ascii="仿宋" w:hAnsi="仿宋" w:eastAsia="仿宋"/>
          <w:bCs/>
          <w:sz w:val="28"/>
          <w:szCs w:val="22"/>
        </w:rPr>
        <w:t>，</w:t>
      </w:r>
      <w:r>
        <w:rPr>
          <w:rFonts w:hint="eastAsia" w:ascii="仿宋" w:hAnsi="仿宋" w:eastAsia="仿宋"/>
          <w:bCs/>
        </w:rPr>
        <w:t>每场报告会均有观众感言，</w:t>
      </w:r>
      <w:r>
        <w:rPr>
          <w:rFonts w:hint="eastAsia" w:ascii="仿宋" w:hAnsi="仿宋" w:eastAsia="仿宋"/>
          <w:bCs/>
          <w:sz w:val="28"/>
          <w:szCs w:val="22"/>
        </w:rPr>
        <w:t>宣讲活动受到各单位热烈欢迎，宣讲效果得到听众一致好评。</w:t>
      </w:r>
      <w:r>
        <w:rPr>
          <w:rFonts w:hint="eastAsia" w:ascii="仿宋" w:hAnsi="仿宋" w:eastAsia="仿宋"/>
          <w:bCs/>
        </w:rPr>
        <w:t>在全市百姓宣讲的示范引领下，各区各系统百姓宣讲工作丰富多彩，市交通委组建“绿色出行  畅通北京”宣讲团15年，取得积极成效；房山区连续6年制作原创百姓宣讲剧《西山那抹红》；石景山区创作百姓宣讲员之歌《唱给你听》，百姓宣讲已经成为各区新时代文明实践中心创建思想政治工作的重要内容，百姓宣讲员已成为党的创新理论的传播者、践行者，成为思政教育骨干力量。</w:t>
      </w:r>
      <w:r>
        <w:rPr>
          <w:rFonts w:hint="eastAsia" w:ascii="仿宋" w:hAnsi="仿宋" w:eastAsia="仿宋" w:cs="仿宋"/>
        </w:rPr>
        <w:t>百姓宣讲处对宣讲活动做抽样问卷调查，收回有效问卷320份，对“百姓宣讲”非常满意的有293人，满意的有25人，占比99%。</w:t>
      </w:r>
    </w:p>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57" w:name="_Toc3945"/>
      <w:r>
        <w:rPr>
          <w:rFonts w:hint="eastAsia"/>
          <w:color w:val="auto"/>
        </w:rPr>
        <w:t>五、存在的问题</w:t>
      </w:r>
      <w:bookmarkEnd w:id="57"/>
      <w:r>
        <w:rPr>
          <w:color w:val="auto"/>
        </w:rPr>
        <w:t xml:space="preserve"> </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宋体"/>
          <w:color w:val="auto"/>
          <w:kern w:val="0"/>
          <w:szCs w:val="28"/>
          <w:lang w:val="zh-CN"/>
        </w:rPr>
      </w:pPr>
      <w:bookmarkStart w:id="58" w:name="_Toc398740524"/>
      <w:bookmarkStart w:id="59" w:name="_Toc398283609"/>
      <w:bookmarkStart w:id="60" w:name="_Toc398645568"/>
      <w:bookmarkStart w:id="61" w:name="_Toc280915698"/>
      <w:bookmarkStart w:id="62" w:name="_Toc398645276"/>
      <w:r>
        <w:rPr>
          <w:rFonts w:hint="eastAsia" w:ascii="仿宋" w:hAnsi="仿宋" w:eastAsia="仿宋" w:cs="宋体"/>
          <w:color w:val="auto"/>
          <w:kern w:val="0"/>
          <w:szCs w:val="28"/>
        </w:rPr>
        <w:t>1.绩效目标设定完整性需要进一步加强。</w:t>
      </w:r>
      <w:r>
        <w:rPr>
          <w:rFonts w:hint="eastAsia" w:ascii="仿宋" w:hAnsi="仿宋" w:eastAsia="仿宋" w:cs="宋体"/>
          <w:color w:val="auto"/>
          <w:kern w:val="0"/>
          <w:szCs w:val="28"/>
          <w:lang w:eastAsia="zh-CN"/>
        </w:rPr>
        <w:t>项目</w:t>
      </w:r>
      <w:r>
        <w:rPr>
          <w:rFonts w:hint="eastAsia" w:ascii="仿宋" w:hAnsi="仿宋" w:eastAsia="仿宋" w:cs="宋体"/>
          <w:color w:val="auto"/>
          <w:kern w:val="0"/>
          <w:szCs w:val="28"/>
        </w:rPr>
        <w:t>缺少质量指标和可持续影响指标</w:t>
      </w:r>
      <w:r>
        <w:rPr>
          <w:rFonts w:hint="eastAsia" w:ascii="仿宋" w:hAnsi="仿宋" w:eastAsia="仿宋" w:cs="宋体"/>
          <w:color w:val="auto"/>
          <w:kern w:val="0"/>
          <w:szCs w:val="28"/>
          <w:lang w:eastAsia="zh-CN"/>
        </w:rPr>
        <w:t>；</w:t>
      </w:r>
      <w:r>
        <w:rPr>
          <w:rFonts w:hint="eastAsia" w:ascii="仿宋" w:hAnsi="仿宋" w:eastAsia="仿宋" w:cs="宋体"/>
          <w:color w:val="auto"/>
          <w:kern w:val="0"/>
          <w:szCs w:val="28"/>
        </w:rPr>
        <w:t>社会效益指标的指标值为</w:t>
      </w:r>
      <w:r>
        <w:rPr>
          <w:rFonts w:hint="eastAsia" w:ascii="仿宋" w:hAnsi="仿宋" w:eastAsia="仿宋" w:cs="宋体"/>
          <w:color w:val="auto"/>
          <w:kern w:val="0"/>
          <w:szCs w:val="28"/>
          <w:lang w:eastAsia="zh-CN"/>
        </w:rPr>
        <w:t>“</w:t>
      </w:r>
      <w:r>
        <w:rPr>
          <w:rFonts w:hint="eastAsia" w:ascii="仿宋" w:hAnsi="仿宋" w:eastAsia="仿宋" w:cs="宋体"/>
          <w:color w:val="auto"/>
          <w:kern w:val="0"/>
          <w:szCs w:val="28"/>
        </w:rPr>
        <w:t>满足要求</w:t>
      </w:r>
      <w:r>
        <w:rPr>
          <w:rFonts w:hint="eastAsia" w:ascii="仿宋" w:hAnsi="仿宋" w:eastAsia="仿宋" w:cs="宋体"/>
          <w:color w:val="auto"/>
          <w:kern w:val="0"/>
          <w:szCs w:val="28"/>
          <w:lang w:eastAsia="zh-CN"/>
        </w:rPr>
        <w:t>”</w:t>
      </w:r>
      <w:r>
        <w:rPr>
          <w:rFonts w:hint="eastAsia" w:ascii="仿宋" w:hAnsi="仿宋" w:eastAsia="仿宋" w:cs="宋体"/>
          <w:color w:val="auto"/>
          <w:kern w:val="0"/>
          <w:szCs w:val="28"/>
        </w:rPr>
        <w:t>，该定性指标</w:t>
      </w:r>
      <w:r>
        <w:rPr>
          <w:rFonts w:hint="eastAsia" w:ascii="仿宋" w:hAnsi="仿宋" w:eastAsia="仿宋" w:cs="宋体"/>
          <w:color w:val="auto"/>
          <w:kern w:val="0"/>
          <w:szCs w:val="28"/>
          <w:lang w:eastAsia="zh-CN"/>
        </w:rPr>
        <w:t>没有</w:t>
      </w:r>
      <w:r>
        <w:rPr>
          <w:rFonts w:hint="eastAsia" w:ascii="仿宋" w:hAnsi="仿宋" w:eastAsia="仿宋" w:cs="宋体"/>
          <w:color w:val="auto"/>
          <w:kern w:val="0"/>
          <w:szCs w:val="28"/>
        </w:rPr>
        <w:t>评价标准</w:t>
      </w:r>
      <w:r>
        <w:rPr>
          <w:rFonts w:hint="eastAsia" w:ascii="仿宋" w:hAnsi="仿宋" w:eastAsia="仿宋" w:cs="宋体"/>
          <w:color w:val="auto"/>
          <w:kern w:val="0"/>
          <w:szCs w:val="28"/>
          <w:lang w:eastAsia="zh-CN"/>
        </w:rPr>
        <w:t>且不易</w:t>
      </w:r>
      <w:r>
        <w:rPr>
          <w:rFonts w:hint="eastAsia" w:ascii="仿宋" w:hAnsi="仿宋" w:eastAsia="仿宋" w:cs="宋体"/>
          <w:color w:val="auto"/>
          <w:kern w:val="0"/>
          <w:szCs w:val="28"/>
        </w:rPr>
        <w:t>评价</w:t>
      </w:r>
      <w:r>
        <w:rPr>
          <w:rFonts w:hint="eastAsia" w:ascii="仿宋" w:hAnsi="仿宋" w:eastAsia="仿宋" w:cs="宋体"/>
          <w:color w:val="auto"/>
          <w:kern w:val="0"/>
          <w:szCs w:val="28"/>
          <w:lang w:val="zh-CN"/>
        </w:rPr>
        <w:t>。</w:t>
      </w:r>
    </w:p>
    <w:p>
      <w:pPr>
        <w:pStyle w:val="7"/>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rPr>
      </w:pPr>
      <w:r>
        <w:rPr>
          <w:rFonts w:hint="eastAsia" w:ascii="仿宋" w:hAnsi="仿宋" w:eastAsia="仿宋" w:cs="仿宋"/>
          <w:color w:val="auto"/>
        </w:rPr>
        <w:t>2.项目的实施方案不够完整</w:t>
      </w:r>
      <w:r>
        <w:rPr>
          <w:rFonts w:hint="eastAsia" w:ascii="仿宋" w:hAnsi="仿宋" w:eastAsia="仿宋" w:cs="仿宋"/>
          <w:color w:val="auto"/>
          <w:lang w:eastAsia="zh-CN"/>
        </w:rPr>
        <w:t>。</w:t>
      </w:r>
      <w:r>
        <w:rPr>
          <w:rFonts w:hint="eastAsia" w:ascii="仿宋" w:hAnsi="仿宋" w:eastAsia="仿宋" w:cs="仿宋"/>
          <w:color w:val="auto"/>
        </w:rPr>
        <w:t>实施方案中虽明确了组织机构</w:t>
      </w:r>
      <w:r>
        <w:rPr>
          <w:rFonts w:hint="eastAsia" w:ascii="仿宋" w:hAnsi="仿宋" w:eastAsia="仿宋" w:cs="仿宋"/>
          <w:color w:val="auto"/>
          <w:lang w:eastAsia="zh-CN"/>
        </w:rPr>
        <w:t>和活动</w:t>
      </w:r>
      <w:r>
        <w:rPr>
          <w:rFonts w:hint="eastAsia" w:ascii="仿宋" w:hAnsi="仿宋" w:eastAsia="仿宋" w:cs="仿宋"/>
          <w:color w:val="auto"/>
        </w:rPr>
        <w:t>内容，但没有建立</w:t>
      </w:r>
      <w:r>
        <w:rPr>
          <w:rFonts w:hint="eastAsia" w:ascii="仿宋" w:hAnsi="仿宋" w:eastAsia="仿宋" w:cs="仿宋"/>
          <w:color w:val="auto"/>
          <w:lang w:eastAsia="zh-CN"/>
        </w:rPr>
        <w:t>相应的</w:t>
      </w:r>
      <w:r>
        <w:rPr>
          <w:rFonts w:hint="eastAsia" w:ascii="仿宋" w:hAnsi="仿宋" w:eastAsia="仿宋" w:cs="仿宋"/>
          <w:color w:val="auto"/>
        </w:rPr>
        <w:t>监督机制，</w:t>
      </w:r>
      <w:r>
        <w:rPr>
          <w:rFonts w:hint="eastAsia" w:ascii="仿宋" w:hAnsi="仿宋" w:eastAsia="仿宋" w:cs="仿宋"/>
          <w:color w:val="auto"/>
          <w:lang w:eastAsia="zh-CN"/>
        </w:rPr>
        <w:t>无法</w:t>
      </w:r>
      <w:r>
        <w:rPr>
          <w:rFonts w:hint="eastAsia" w:ascii="仿宋" w:hAnsi="仿宋" w:eastAsia="仿宋" w:cs="仿宋"/>
          <w:color w:val="auto"/>
        </w:rPr>
        <w:t>体现实施方案的具体落实情况。</w:t>
      </w:r>
    </w:p>
    <w:p>
      <w:pPr>
        <w:pageBreakBefore w:val="0"/>
        <w:kinsoku/>
        <w:wordWrap/>
        <w:overflowPunct/>
        <w:topLinePunct w:val="0"/>
        <w:autoSpaceDE/>
        <w:autoSpaceDN/>
        <w:bidi w:val="0"/>
        <w:adjustRightInd/>
        <w:snapToGrid/>
        <w:spacing w:line="520" w:lineRule="exact"/>
        <w:ind w:firstLine="560"/>
        <w:textAlignment w:val="auto"/>
        <w:rPr>
          <w:color w:val="auto"/>
        </w:rPr>
      </w:pPr>
      <w:r>
        <w:rPr>
          <w:rFonts w:hint="eastAsia"/>
          <w:color w:val="auto"/>
        </w:rPr>
        <w:t>3.反映项目完成的效益评价标准和证据资料、效果资料不</w:t>
      </w:r>
      <w:r>
        <w:rPr>
          <w:rFonts w:hint="eastAsia"/>
          <w:color w:val="auto"/>
          <w:lang w:eastAsia="zh-CN"/>
        </w:rPr>
        <w:t>充分，</w:t>
      </w:r>
      <w:r>
        <w:rPr>
          <w:rFonts w:hint="eastAsia"/>
          <w:color w:val="auto"/>
        </w:rPr>
        <w:t>过程管理和项目绩效资料</w:t>
      </w:r>
      <w:r>
        <w:rPr>
          <w:rFonts w:hint="eastAsia"/>
          <w:color w:val="auto"/>
          <w:lang w:eastAsia="zh-CN"/>
        </w:rPr>
        <w:t>的</w:t>
      </w:r>
      <w:r>
        <w:rPr>
          <w:rFonts w:hint="eastAsia"/>
          <w:color w:val="auto"/>
        </w:rPr>
        <w:t>收集、留存有待完善。</w:t>
      </w:r>
    </w:p>
    <w:bookmarkEnd w:id="58"/>
    <w:bookmarkEnd w:id="59"/>
    <w:bookmarkEnd w:id="60"/>
    <w:bookmarkEnd w:id="61"/>
    <w:bookmarkEnd w:id="62"/>
    <w:p>
      <w:pPr>
        <w:pStyle w:val="3"/>
        <w:pageBreakBefore w:val="0"/>
        <w:kinsoku/>
        <w:wordWrap/>
        <w:overflowPunct/>
        <w:topLinePunct w:val="0"/>
        <w:autoSpaceDE/>
        <w:autoSpaceDN/>
        <w:bidi w:val="0"/>
        <w:adjustRightInd/>
        <w:snapToGrid/>
        <w:spacing w:line="520" w:lineRule="exact"/>
        <w:ind w:firstLine="602"/>
        <w:textAlignment w:val="auto"/>
        <w:rPr>
          <w:color w:val="auto"/>
        </w:rPr>
      </w:pPr>
      <w:bookmarkStart w:id="63" w:name="_Toc11406"/>
      <w:r>
        <w:rPr>
          <w:rFonts w:hint="eastAsia"/>
          <w:color w:val="auto"/>
        </w:rPr>
        <w:t>六、有关建议</w:t>
      </w:r>
      <w:bookmarkEnd w:id="63"/>
    </w:p>
    <w:p>
      <w:pPr>
        <w:pageBreakBefore w:val="0"/>
        <w:kinsoku/>
        <w:wordWrap/>
        <w:overflowPunct/>
        <w:topLinePunct w:val="0"/>
        <w:autoSpaceDE/>
        <w:autoSpaceDN/>
        <w:bidi w:val="0"/>
        <w:adjustRightInd/>
        <w:snapToGrid/>
        <w:spacing w:line="520" w:lineRule="exact"/>
        <w:ind w:firstLine="560"/>
        <w:jc w:val="left"/>
        <w:textAlignment w:val="auto"/>
        <w:rPr>
          <w:rFonts w:hint="eastAsia"/>
          <w:color w:val="auto"/>
        </w:rPr>
      </w:pPr>
      <w:r>
        <w:rPr>
          <w:rFonts w:hint="eastAsia"/>
          <w:color w:val="auto"/>
        </w:rPr>
        <w:t>1.</w:t>
      </w:r>
      <w:r>
        <w:rPr>
          <w:rFonts w:hint="eastAsia"/>
          <w:color w:val="auto"/>
          <w:lang w:eastAsia="zh-CN"/>
        </w:rPr>
        <w:t>建议</w:t>
      </w:r>
      <w:r>
        <w:rPr>
          <w:rFonts w:hint="eastAsia"/>
          <w:color w:val="auto"/>
        </w:rPr>
        <w:t>进一步</w:t>
      </w:r>
      <w:r>
        <w:rPr>
          <w:rFonts w:hint="eastAsia"/>
          <w:color w:val="auto"/>
          <w:lang w:eastAsia="zh-CN"/>
        </w:rPr>
        <w:t>完善项目实施方案，优化项目绩效目标</w:t>
      </w:r>
      <w:r>
        <w:rPr>
          <w:rFonts w:hint="eastAsia"/>
          <w:color w:val="auto"/>
        </w:rPr>
        <w:t>。</w:t>
      </w:r>
      <w:r>
        <w:rPr>
          <w:rFonts w:hint="eastAsia" w:ascii="宋体" w:hAnsi="Courier New"/>
          <w:color w:val="auto"/>
        </w:rPr>
        <w:t>加强预算管理</w:t>
      </w:r>
      <w:r>
        <w:rPr>
          <w:rFonts w:hint="eastAsia" w:ascii="宋体" w:hAnsi="Courier New"/>
          <w:color w:val="auto"/>
          <w:lang w:eastAsia="zh-CN"/>
        </w:rPr>
        <w:t>和绩效管理</w:t>
      </w:r>
      <w:r>
        <w:rPr>
          <w:rFonts w:hint="eastAsia" w:ascii="宋体" w:hAnsi="Courier New"/>
          <w:color w:val="auto"/>
        </w:rPr>
        <w:t>的培训和学习</w:t>
      </w:r>
      <w:r>
        <w:rPr>
          <w:rFonts w:hint="eastAsia" w:ascii="宋体" w:hAnsi="Courier New"/>
          <w:color w:val="auto"/>
          <w:lang w:eastAsia="zh-CN"/>
        </w:rPr>
        <w:t>，细化项目的预算编制，</w:t>
      </w:r>
      <w:r>
        <w:rPr>
          <w:rFonts w:hint="eastAsia"/>
          <w:color w:val="auto"/>
          <w:lang w:eastAsia="zh-CN"/>
        </w:rPr>
        <w:t>结合实际情况设立既能全面体现项目效果，又能</w:t>
      </w:r>
      <w:r>
        <w:rPr>
          <w:rFonts w:hint="eastAsia" w:ascii="宋体" w:hAnsi="Courier New"/>
          <w:color w:val="auto"/>
        </w:rPr>
        <w:t>量化易评的绩效目标</w:t>
      </w:r>
      <w:r>
        <w:rPr>
          <w:rFonts w:hint="eastAsia"/>
          <w:color w:val="auto"/>
        </w:rPr>
        <w:t>。</w:t>
      </w:r>
    </w:p>
    <w:p>
      <w:pPr>
        <w:pageBreakBefore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建议单位在项目实施过程中，注重项目产生效果资料的收集和整理，深化本项目</w:t>
      </w:r>
      <w:r>
        <w:rPr>
          <w:rFonts w:hint="eastAsia" w:ascii="仿宋" w:hAnsi="仿宋" w:eastAsia="仿宋" w:cs="仿宋"/>
          <w:color w:val="auto"/>
          <w:szCs w:val="21"/>
          <w:lang w:eastAsia="zh-CN"/>
        </w:rPr>
        <w:t>绩效</w:t>
      </w:r>
      <w:r>
        <w:rPr>
          <w:rFonts w:hint="eastAsia" w:ascii="仿宋" w:hAnsi="仿宋" w:eastAsia="仿宋" w:cs="仿宋"/>
          <w:color w:val="auto"/>
          <w:szCs w:val="21"/>
        </w:rPr>
        <w:t>的总结、分析工作，并可以通过挖掘突出的案例等资料支撑本项目实现的效益。</w:t>
      </w:r>
    </w:p>
    <w:p>
      <w:pPr>
        <w:pageBreakBefore w:val="0"/>
        <w:kinsoku/>
        <w:wordWrap/>
        <w:overflowPunct/>
        <w:topLinePunct w:val="0"/>
        <w:autoSpaceDE/>
        <w:autoSpaceDN/>
        <w:bidi w:val="0"/>
        <w:adjustRightInd/>
        <w:snapToGrid/>
        <w:spacing w:line="520" w:lineRule="exact"/>
        <w:ind w:firstLine="560"/>
        <w:textAlignment w:val="auto"/>
        <w:rPr>
          <w:rFonts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.建议单位根据</w:t>
      </w:r>
      <w:r>
        <w:rPr>
          <w:rFonts w:hint="eastAsia" w:ascii="仿宋" w:hAnsi="仿宋" w:eastAsia="仿宋" w:cs="仿宋"/>
          <w:color w:val="auto"/>
          <w:szCs w:val="21"/>
          <w:lang w:eastAsia="zh-CN"/>
        </w:rPr>
        <w:t>宣传</w:t>
      </w:r>
      <w:r>
        <w:rPr>
          <w:rFonts w:hint="eastAsia" w:ascii="仿宋" w:hAnsi="仿宋" w:eastAsia="仿宋" w:cs="仿宋"/>
          <w:color w:val="auto"/>
          <w:szCs w:val="21"/>
        </w:rPr>
        <w:t>项目涉及的</w:t>
      </w:r>
      <w:r>
        <w:rPr>
          <w:rFonts w:hint="eastAsia" w:ascii="仿宋" w:hAnsi="仿宋" w:eastAsia="仿宋" w:cs="仿宋"/>
          <w:color w:val="auto"/>
          <w:szCs w:val="21"/>
          <w:lang w:eastAsia="zh-CN"/>
        </w:rPr>
        <w:t>活动</w:t>
      </w:r>
      <w:r>
        <w:rPr>
          <w:rFonts w:hint="eastAsia" w:ascii="仿宋" w:hAnsi="仿宋" w:eastAsia="仿宋" w:cs="仿宋"/>
          <w:color w:val="auto"/>
          <w:szCs w:val="21"/>
        </w:rPr>
        <w:t>、人员和单位，针对</w:t>
      </w:r>
      <w:r>
        <w:rPr>
          <w:rFonts w:hint="eastAsia" w:ascii="仿宋" w:hAnsi="仿宋" w:eastAsia="仿宋" w:cs="仿宋"/>
          <w:color w:val="auto"/>
          <w:szCs w:val="21"/>
          <w:lang w:eastAsia="zh-CN"/>
        </w:rPr>
        <w:t>服务</w:t>
      </w:r>
      <w:r>
        <w:rPr>
          <w:rFonts w:hint="eastAsia" w:ascii="仿宋" w:hAnsi="仿宋" w:eastAsia="仿宋" w:cs="仿宋"/>
          <w:color w:val="auto"/>
          <w:szCs w:val="21"/>
        </w:rPr>
        <w:t>满意度</w:t>
      </w:r>
      <w:r>
        <w:rPr>
          <w:rFonts w:hint="eastAsia" w:ascii="仿宋" w:hAnsi="仿宋" w:eastAsia="仿宋" w:cs="仿宋"/>
          <w:color w:val="auto"/>
          <w:szCs w:val="21"/>
          <w:lang w:eastAsia="zh-CN"/>
        </w:rPr>
        <w:t>在</w:t>
      </w:r>
      <w:r>
        <w:rPr>
          <w:rFonts w:hint="eastAsia" w:ascii="仿宋" w:hAnsi="仿宋" w:eastAsia="仿宋" w:cs="仿宋"/>
          <w:color w:val="auto"/>
          <w:szCs w:val="21"/>
        </w:rPr>
        <w:t>样本选取对象、样本数量以及调查内容</w:t>
      </w:r>
      <w:r>
        <w:rPr>
          <w:rFonts w:hint="eastAsia" w:ascii="仿宋" w:hAnsi="仿宋" w:eastAsia="仿宋" w:cs="仿宋"/>
          <w:color w:val="auto"/>
          <w:szCs w:val="21"/>
          <w:lang w:eastAsia="zh-CN"/>
        </w:rPr>
        <w:t>方面存在</w:t>
      </w:r>
      <w:bookmarkStart w:id="64" w:name="_GoBack"/>
      <w:bookmarkEnd w:id="64"/>
      <w:r>
        <w:rPr>
          <w:rFonts w:hint="eastAsia" w:ascii="仿宋" w:hAnsi="仿宋" w:eastAsia="仿宋" w:cs="仿宋"/>
          <w:color w:val="auto"/>
          <w:szCs w:val="21"/>
          <w:lang w:eastAsia="zh-CN"/>
        </w:rPr>
        <w:t>的</w:t>
      </w:r>
      <w:r>
        <w:rPr>
          <w:rFonts w:hint="eastAsia" w:ascii="仿宋" w:hAnsi="仿宋" w:eastAsia="仿宋" w:cs="仿宋"/>
          <w:color w:val="auto"/>
          <w:szCs w:val="21"/>
        </w:rPr>
        <w:t>问题制定</w:t>
      </w:r>
      <w:r>
        <w:rPr>
          <w:rFonts w:hint="eastAsia" w:ascii="仿宋" w:hAnsi="仿宋" w:eastAsia="仿宋" w:cs="仿宋"/>
          <w:color w:val="auto"/>
          <w:szCs w:val="21"/>
          <w:lang w:eastAsia="zh-CN"/>
        </w:rPr>
        <w:t>适</w:t>
      </w:r>
      <w:r>
        <w:rPr>
          <w:rFonts w:hint="eastAsia" w:ascii="仿宋" w:hAnsi="仿宋" w:eastAsia="仿宋" w:cs="仿宋"/>
          <w:color w:val="auto"/>
          <w:szCs w:val="21"/>
        </w:rPr>
        <w:t>合项目的满意度调查方案。</w:t>
      </w:r>
    </w:p>
    <w:sectPr>
      <w:footerReference r:id="rId12" w:type="default"/>
      <w:pgSz w:w="11906" w:h="16838"/>
      <w:pgMar w:top="1440" w:right="1800" w:bottom="1440" w:left="1800" w:header="851" w:footer="992"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1</w:t>
    </w:r>
    <w: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1</w:t>
    </w:r>
    <w:r>
      <w:fldChar w:fldCharType="end"/>
    </w: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PAGE   \* MERGEFORMAT</w:instrText>
    </w:r>
    <w:r>
      <w:fldChar w:fldCharType="separate"/>
    </w:r>
    <w:r>
      <w:rPr>
        <w:lang w:val="zh-CN"/>
      </w:rPr>
      <w:t>1</w:t>
    </w:r>
    <w:r>
      <w:fldChar w:fldCharType="end"/>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8ACAD"/>
    <w:multiLevelType w:val="singleLevel"/>
    <w:tmpl w:val="BF38ACAD"/>
    <w:lvl w:ilvl="0" w:tentative="0">
      <w:start w:val="3"/>
      <w:numFmt w:val="chineseCounting"/>
      <w:suff w:val="nothing"/>
      <w:lvlText w:val="（%1）"/>
      <w:lvlJc w:val="left"/>
      <w:rPr>
        <w:rFonts w:hint="eastAsia"/>
      </w:rPr>
    </w:lvl>
  </w:abstractNum>
  <w:abstractNum w:abstractNumId="1">
    <w:nsid w:val="D5BFCD3D"/>
    <w:multiLevelType w:val="singleLevel"/>
    <w:tmpl w:val="D5BFCD3D"/>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NmY1MmE1MjM1Mjc0YzlmZWRmNjlkZDgzNTkxZTAifQ=="/>
  </w:docVars>
  <w:rsids>
    <w:rsidRoot w:val="002A4A98"/>
    <w:rsid w:val="00015ACF"/>
    <w:rsid w:val="000228F0"/>
    <w:rsid w:val="000365EC"/>
    <w:rsid w:val="00044B57"/>
    <w:rsid w:val="0004658A"/>
    <w:rsid w:val="000474E8"/>
    <w:rsid w:val="000541EA"/>
    <w:rsid w:val="00054C9E"/>
    <w:rsid w:val="00055229"/>
    <w:rsid w:val="00056458"/>
    <w:rsid w:val="00063327"/>
    <w:rsid w:val="00076578"/>
    <w:rsid w:val="000829B0"/>
    <w:rsid w:val="000829ED"/>
    <w:rsid w:val="000A3478"/>
    <w:rsid w:val="000B4DD5"/>
    <w:rsid w:val="000C17B7"/>
    <w:rsid w:val="000C4AF5"/>
    <w:rsid w:val="000C5B6B"/>
    <w:rsid w:val="000D6BEE"/>
    <w:rsid w:val="000E4D56"/>
    <w:rsid w:val="000F0139"/>
    <w:rsid w:val="000F06F2"/>
    <w:rsid w:val="000F60D5"/>
    <w:rsid w:val="0010102A"/>
    <w:rsid w:val="001048F6"/>
    <w:rsid w:val="00111A3E"/>
    <w:rsid w:val="0011273B"/>
    <w:rsid w:val="00131981"/>
    <w:rsid w:val="001436E5"/>
    <w:rsid w:val="00146BF0"/>
    <w:rsid w:val="001554DC"/>
    <w:rsid w:val="00161F2B"/>
    <w:rsid w:val="00163ABE"/>
    <w:rsid w:val="00183FA9"/>
    <w:rsid w:val="0019009F"/>
    <w:rsid w:val="00190AAD"/>
    <w:rsid w:val="00193358"/>
    <w:rsid w:val="001A2CD0"/>
    <w:rsid w:val="001B4C23"/>
    <w:rsid w:val="001B7B18"/>
    <w:rsid w:val="001C0AFA"/>
    <w:rsid w:val="001C31AA"/>
    <w:rsid w:val="001C3F63"/>
    <w:rsid w:val="001C4E28"/>
    <w:rsid w:val="001C74AE"/>
    <w:rsid w:val="001D4B5A"/>
    <w:rsid w:val="001D4DA5"/>
    <w:rsid w:val="001E12F5"/>
    <w:rsid w:val="001F7D40"/>
    <w:rsid w:val="00212C58"/>
    <w:rsid w:val="00213BDE"/>
    <w:rsid w:val="00227516"/>
    <w:rsid w:val="002356C5"/>
    <w:rsid w:val="002450D7"/>
    <w:rsid w:val="002453DD"/>
    <w:rsid w:val="00250339"/>
    <w:rsid w:val="00266ACE"/>
    <w:rsid w:val="002748B8"/>
    <w:rsid w:val="002925F2"/>
    <w:rsid w:val="002A4A98"/>
    <w:rsid w:val="002A56D9"/>
    <w:rsid w:val="002C01AA"/>
    <w:rsid w:val="002C12FE"/>
    <w:rsid w:val="002F48D5"/>
    <w:rsid w:val="002F63BE"/>
    <w:rsid w:val="002F7CF4"/>
    <w:rsid w:val="00314CBB"/>
    <w:rsid w:val="00317116"/>
    <w:rsid w:val="00320D13"/>
    <w:rsid w:val="00327AF1"/>
    <w:rsid w:val="00332AE5"/>
    <w:rsid w:val="00343E8A"/>
    <w:rsid w:val="003467FC"/>
    <w:rsid w:val="00354170"/>
    <w:rsid w:val="00360FF1"/>
    <w:rsid w:val="003638B5"/>
    <w:rsid w:val="00365A36"/>
    <w:rsid w:val="00366FB9"/>
    <w:rsid w:val="00367391"/>
    <w:rsid w:val="0037391D"/>
    <w:rsid w:val="00383539"/>
    <w:rsid w:val="00391AD5"/>
    <w:rsid w:val="003977B9"/>
    <w:rsid w:val="003A0EEC"/>
    <w:rsid w:val="003C460B"/>
    <w:rsid w:val="003D34FB"/>
    <w:rsid w:val="003D74EB"/>
    <w:rsid w:val="003D787C"/>
    <w:rsid w:val="003E0A8D"/>
    <w:rsid w:val="003E2D34"/>
    <w:rsid w:val="003E30A0"/>
    <w:rsid w:val="00402139"/>
    <w:rsid w:val="00403AB3"/>
    <w:rsid w:val="0040463D"/>
    <w:rsid w:val="004135DF"/>
    <w:rsid w:val="0041437B"/>
    <w:rsid w:val="00422FB9"/>
    <w:rsid w:val="004268A7"/>
    <w:rsid w:val="00430B5E"/>
    <w:rsid w:val="00431DE8"/>
    <w:rsid w:val="00453645"/>
    <w:rsid w:val="00463814"/>
    <w:rsid w:val="00473F56"/>
    <w:rsid w:val="00487272"/>
    <w:rsid w:val="004951AA"/>
    <w:rsid w:val="004B1E8C"/>
    <w:rsid w:val="004C6F34"/>
    <w:rsid w:val="004D0EBB"/>
    <w:rsid w:val="004F6E81"/>
    <w:rsid w:val="00504B2E"/>
    <w:rsid w:val="005151F7"/>
    <w:rsid w:val="0053520D"/>
    <w:rsid w:val="0054537D"/>
    <w:rsid w:val="00556628"/>
    <w:rsid w:val="0056446F"/>
    <w:rsid w:val="00577BC6"/>
    <w:rsid w:val="005A50DC"/>
    <w:rsid w:val="005B20D9"/>
    <w:rsid w:val="005B243A"/>
    <w:rsid w:val="005B49C6"/>
    <w:rsid w:val="005C4439"/>
    <w:rsid w:val="005C4E87"/>
    <w:rsid w:val="005C5275"/>
    <w:rsid w:val="005D2F1A"/>
    <w:rsid w:val="005D495A"/>
    <w:rsid w:val="005E08A7"/>
    <w:rsid w:val="005E63AE"/>
    <w:rsid w:val="005F7CBA"/>
    <w:rsid w:val="005F7F3F"/>
    <w:rsid w:val="00606016"/>
    <w:rsid w:val="006069AC"/>
    <w:rsid w:val="00610722"/>
    <w:rsid w:val="00611C04"/>
    <w:rsid w:val="00613527"/>
    <w:rsid w:val="00630AEF"/>
    <w:rsid w:val="006424BA"/>
    <w:rsid w:val="0066415C"/>
    <w:rsid w:val="0066531C"/>
    <w:rsid w:val="00667EBA"/>
    <w:rsid w:val="006832CE"/>
    <w:rsid w:val="00687180"/>
    <w:rsid w:val="00696746"/>
    <w:rsid w:val="006C063E"/>
    <w:rsid w:val="006C5449"/>
    <w:rsid w:val="006D513B"/>
    <w:rsid w:val="006D5595"/>
    <w:rsid w:val="006E0DDD"/>
    <w:rsid w:val="006E19FA"/>
    <w:rsid w:val="006F3F51"/>
    <w:rsid w:val="006F453D"/>
    <w:rsid w:val="0070499D"/>
    <w:rsid w:val="00710A39"/>
    <w:rsid w:val="00710D90"/>
    <w:rsid w:val="00715756"/>
    <w:rsid w:val="00731978"/>
    <w:rsid w:val="00742675"/>
    <w:rsid w:val="00742A18"/>
    <w:rsid w:val="00747A09"/>
    <w:rsid w:val="00747C57"/>
    <w:rsid w:val="007555AD"/>
    <w:rsid w:val="00763641"/>
    <w:rsid w:val="00767D66"/>
    <w:rsid w:val="0077467B"/>
    <w:rsid w:val="007A09BE"/>
    <w:rsid w:val="007A6B78"/>
    <w:rsid w:val="007A74BC"/>
    <w:rsid w:val="007B046E"/>
    <w:rsid w:val="007B0F91"/>
    <w:rsid w:val="007B5391"/>
    <w:rsid w:val="007E3262"/>
    <w:rsid w:val="007E6D8E"/>
    <w:rsid w:val="00806F02"/>
    <w:rsid w:val="00815287"/>
    <w:rsid w:val="00817930"/>
    <w:rsid w:val="00826D92"/>
    <w:rsid w:val="00832472"/>
    <w:rsid w:val="008333BE"/>
    <w:rsid w:val="008370BF"/>
    <w:rsid w:val="00840FA6"/>
    <w:rsid w:val="00852F19"/>
    <w:rsid w:val="008619EE"/>
    <w:rsid w:val="008646E3"/>
    <w:rsid w:val="00872D60"/>
    <w:rsid w:val="008736B0"/>
    <w:rsid w:val="00876436"/>
    <w:rsid w:val="0088340F"/>
    <w:rsid w:val="00887844"/>
    <w:rsid w:val="00887D45"/>
    <w:rsid w:val="008A0CC7"/>
    <w:rsid w:val="008A20B2"/>
    <w:rsid w:val="008A5452"/>
    <w:rsid w:val="008A5BF8"/>
    <w:rsid w:val="008B125E"/>
    <w:rsid w:val="008B1F5E"/>
    <w:rsid w:val="008B2B4D"/>
    <w:rsid w:val="008C53BA"/>
    <w:rsid w:val="008F0862"/>
    <w:rsid w:val="008F4190"/>
    <w:rsid w:val="009020B0"/>
    <w:rsid w:val="0090349C"/>
    <w:rsid w:val="009129B5"/>
    <w:rsid w:val="00917D25"/>
    <w:rsid w:val="00926066"/>
    <w:rsid w:val="009344C8"/>
    <w:rsid w:val="00942407"/>
    <w:rsid w:val="009539F6"/>
    <w:rsid w:val="00954516"/>
    <w:rsid w:val="009562DC"/>
    <w:rsid w:val="00960399"/>
    <w:rsid w:val="009651E8"/>
    <w:rsid w:val="00971A71"/>
    <w:rsid w:val="00976F67"/>
    <w:rsid w:val="00984AB0"/>
    <w:rsid w:val="00991484"/>
    <w:rsid w:val="00995C99"/>
    <w:rsid w:val="009B5C97"/>
    <w:rsid w:val="009D48B3"/>
    <w:rsid w:val="009D6C66"/>
    <w:rsid w:val="009E255C"/>
    <w:rsid w:val="009E3068"/>
    <w:rsid w:val="009F235A"/>
    <w:rsid w:val="009F549C"/>
    <w:rsid w:val="009F56FC"/>
    <w:rsid w:val="00A2732A"/>
    <w:rsid w:val="00A3464F"/>
    <w:rsid w:val="00A347C0"/>
    <w:rsid w:val="00A34FB2"/>
    <w:rsid w:val="00A44232"/>
    <w:rsid w:val="00A44793"/>
    <w:rsid w:val="00A4720D"/>
    <w:rsid w:val="00A56A1A"/>
    <w:rsid w:val="00A60628"/>
    <w:rsid w:val="00A71465"/>
    <w:rsid w:val="00A769C7"/>
    <w:rsid w:val="00A82361"/>
    <w:rsid w:val="00A824B4"/>
    <w:rsid w:val="00A8504C"/>
    <w:rsid w:val="00A85664"/>
    <w:rsid w:val="00A93103"/>
    <w:rsid w:val="00AB4A3D"/>
    <w:rsid w:val="00AF0B74"/>
    <w:rsid w:val="00AF1D12"/>
    <w:rsid w:val="00B015CF"/>
    <w:rsid w:val="00B2128E"/>
    <w:rsid w:val="00B2201F"/>
    <w:rsid w:val="00B3064E"/>
    <w:rsid w:val="00B317F8"/>
    <w:rsid w:val="00B34502"/>
    <w:rsid w:val="00B4093C"/>
    <w:rsid w:val="00B42FC8"/>
    <w:rsid w:val="00B44A14"/>
    <w:rsid w:val="00B51251"/>
    <w:rsid w:val="00B52A59"/>
    <w:rsid w:val="00B5307E"/>
    <w:rsid w:val="00B545EA"/>
    <w:rsid w:val="00B64BB5"/>
    <w:rsid w:val="00B707B9"/>
    <w:rsid w:val="00B72A7F"/>
    <w:rsid w:val="00B72CBB"/>
    <w:rsid w:val="00B73998"/>
    <w:rsid w:val="00B7748D"/>
    <w:rsid w:val="00B907BB"/>
    <w:rsid w:val="00B91B5B"/>
    <w:rsid w:val="00B92885"/>
    <w:rsid w:val="00B94ED9"/>
    <w:rsid w:val="00BA10AD"/>
    <w:rsid w:val="00BA5DF0"/>
    <w:rsid w:val="00BC4008"/>
    <w:rsid w:val="00BD056B"/>
    <w:rsid w:val="00BE3DFA"/>
    <w:rsid w:val="00BF52ED"/>
    <w:rsid w:val="00BF62AC"/>
    <w:rsid w:val="00C04416"/>
    <w:rsid w:val="00C04C3A"/>
    <w:rsid w:val="00C075A4"/>
    <w:rsid w:val="00C13E41"/>
    <w:rsid w:val="00C25445"/>
    <w:rsid w:val="00C264FC"/>
    <w:rsid w:val="00C27648"/>
    <w:rsid w:val="00C3724B"/>
    <w:rsid w:val="00C5336E"/>
    <w:rsid w:val="00C53E8F"/>
    <w:rsid w:val="00C5570E"/>
    <w:rsid w:val="00C56A88"/>
    <w:rsid w:val="00C57A1E"/>
    <w:rsid w:val="00C62728"/>
    <w:rsid w:val="00C67975"/>
    <w:rsid w:val="00C82A0F"/>
    <w:rsid w:val="00CA4DFA"/>
    <w:rsid w:val="00CB17FA"/>
    <w:rsid w:val="00CB7645"/>
    <w:rsid w:val="00CC2139"/>
    <w:rsid w:val="00CC23EA"/>
    <w:rsid w:val="00CC5651"/>
    <w:rsid w:val="00CC64E6"/>
    <w:rsid w:val="00CE5403"/>
    <w:rsid w:val="00D04DB5"/>
    <w:rsid w:val="00D1784E"/>
    <w:rsid w:val="00D26C13"/>
    <w:rsid w:val="00D3309C"/>
    <w:rsid w:val="00D46BB5"/>
    <w:rsid w:val="00D508AF"/>
    <w:rsid w:val="00D51049"/>
    <w:rsid w:val="00D557B2"/>
    <w:rsid w:val="00D627F7"/>
    <w:rsid w:val="00D64C21"/>
    <w:rsid w:val="00D71D58"/>
    <w:rsid w:val="00D742D3"/>
    <w:rsid w:val="00D74C52"/>
    <w:rsid w:val="00D912BD"/>
    <w:rsid w:val="00DC6240"/>
    <w:rsid w:val="00DD129E"/>
    <w:rsid w:val="00DE3CCB"/>
    <w:rsid w:val="00DF073B"/>
    <w:rsid w:val="00DF0800"/>
    <w:rsid w:val="00DF299E"/>
    <w:rsid w:val="00E16A4B"/>
    <w:rsid w:val="00E25F6D"/>
    <w:rsid w:val="00E30F13"/>
    <w:rsid w:val="00E3657E"/>
    <w:rsid w:val="00E401B2"/>
    <w:rsid w:val="00E438B0"/>
    <w:rsid w:val="00E44B98"/>
    <w:rsid w:val="00E8183F"/>
    <w:rsid w:val="00E86C2F"/>
    <w:rsid w:val="00E953D2"/>
    <w:rsid w:val="00E97C88"/>
    <w:rsid w:val="00EA3ECF"/>
    <w:rsid w:val="00EA444A"/>
    <w:rsid w:val="00EA60BF"/>
    <w:rsid w:val="00EB345E"/>
    <w:rsid w:val="00EB6DAA"/>
    <w:rsid w:val="00ED4892"/>
    <w:rsid w:val="00EE4201"/>
    <w:rsid w:val="00EE5EF4"/>
    <w:rsid w:val="00EF18FA"/>
    <w:rsid w:val="00F0054F"/>
    <w:rsid w:val="00F01D95"/>
    <w:rsid w:val="00F04173"/>
    <w:rsid w:val="00F043C4"/>
    <w:rsid w:val="00F06EDF"/>
    <w:rsid w:val="00F11381"/>
    <w:rsid w:val="00F15DBD"/>
    <w:rsid w:val="00F3243A"/>
    <w:rsid w:val="00F350F7"/>
    <w:rsid w:val="00F42193"/>
    <w:rsid w:val="00F4385F"/>
    <w:rsid w:val="00F46F24"/>
    <w:rsid w:val="00F5066C"/>
    <w:rsid w:val="00F5201F"/>
    <w:rsid w:val="00F83215"/>
    <w:rsid w:val="00F94EA8"/>
    <w:rsid w:val="00F958F3"/>
    <w:rsid w:val="00F973EE"/>
    <w:rsid w:val="00FA0993"/>
    <w:rsid w:val="00FC0964"/>
    <w:rsid w:val="01BB4E0D"/>
    <w:rsid w:val="02263436"/>
    <w:rsid w:val="0A52739D"/>
    <w:rsid w:val="0CE9780D"/>
    <w:rsid w:val="10CA660E"/>
    <w:rsid w:val="166210A3"/>
    <w:rsid w:val="1A380FE6"/>
    <w:rsid w:val="1A80429D"/>
    <w:rsid w:val="1A8D3163"/>
    <w:rsid w:val="1F8F26CD"/>
    <w:rsid w:val="2D052E67"/>
    <w:rsid w:val="2D2F128A"/>
    <w:rsid w:val="33663115"/>
    <w:rsid w:val="365E17A0"/>
    <w:rsid w:val="3A4132FB"/>
    <w:rsid w:val="3A89056A"/>
    <w:rsid w:val="3C7C5835"/>
    <w:rsid w:val="3C7D3602"/>
    <w:rsid w:val="40DA0879"/>
    <w:rsid w:val="432270ED"/>
    <w:rsid w:val="485702A9"/>
    <w:rsid w:val="490A78E5"/>
    <w:rsid w:val="4A355066"/>
    <w:rsid w:val="4A634CB6"/>
    <w:rsid w:val="4E127D66"/>
    <w:rsid w:val="4F082F58"/>
    <w:rsid w:val="50435CFF"/>
    <w:rsid w:val="512C30A8"/>
    <w:rsid w:val="52534984"/>
    <w:rsid w:val="53DD2B74"/>
    <w:rsid w:val="57DD31D4"/>
    <w:rsid w:val="589118CC"/>
    <w:rsid w:val="5B8C47FC"/>
    <w:rsid w:val="5C4C0928"/>
    <w:rsid w:val="5D526412"/>
    <w:rsid w:val="60FC3677"/>
    <w:rsid w:val="66C14061"/>
    <w:rsid w:val="68395D68"/>
    <w:rsid w:val="69AC2A06"/>
    <w:rsid w:val="6A90260C"/>
    <w:rsid w:val="6B486687"/>
    <w:rsid w:val="6BB30DE2"/>
    <w:rsid w:val="6CB55EB5"/>
    <w:rsid w:val="6CF15A16"/>
    <w:rsid w:val="6F005EAD"/>
    <w:rsid w:val="75230384"/>
    <w:rsid w:val="75950E36"/>
    <w:rsid w:val="7715056B"/>
    <w:rsid w:val="79002D6F"/>
    <w:rsid w:val="7AA73F4F"/>
    <w:rsid w:val="7B214B56"/>
    <w:rsid w:val="7DB909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link w:val="27"/>
    <w:qFormat/>
    <w:uiPriority w:val="0"/>
    <w:pPr>
      <w:keepNext/>
      <w:keepLines/>
      <w:spacing w:line="360" w:lineRule="auto"/>
      <w:ind w:firstLine="1044" w:firstLineChars="200"/>
      <w:jc w:val="left"/>
      <w:outlineLvl w:val="0"/>
    </w:pPr>
    <w:rPr>
      <w:rFonts w:ascii="Times New Roman" w:hAnsi="Times New Roman" w:eastAsia="黑体"/>
      <w:b/>
      <w:bCs/>
      <w:kern w:val="44"/>
      <w:sz w:val="30"/>
      <w:szCs w:val="44"/>
    </w:rPr>
  </w:style>
  <w:style w:type="paragraph" w:styleId="4">
    <w:name w:val="heading 2"/>
    <w:basedOn w:val="1"/>
    <w:next w:val="1"/>
    <w:link w:val="28"/>
    <w:qFormat/>
    <w:uiPriority w:val="0"/>
    <w:pPr>
      <w:keepNext/>
      <w:keepLines/>
      <w:spacing w:line="360" w:lineRule="auto"/>
      <w:ind w:firstLine="1044" w:firstLineChars="200"/>
      <w:jc w:val="left"/>
      <w:outlineLvl w:val="1"/>
    </w:pPr>
    <w:rPr>
      <w:rFonts w:ascii="Calibri Light" w:hAnsi="Calibri Light" w:eastAsia="宋体"/>
      <w:b/>
      <w:bCs/>
      <w:szCs w:val="32"/>
    </w:rPr>
  </w:style>
  <w:style w:type="paragraph" w:styleId="5">
    <w:name w:val="heading 3"/>
    <w:basedOn w:val="1"/>
    <w:next w:val="1"/>
    <w:link w:val="29"/>
    <w:qFormat/>
    <w:uiPriority w:val="0"/>
    <w:pPr>
      <w:keepNext/>
      <w:keepLines/>
      <w:spacing w:line="360" w:lineRule="auto"/>
      <w:outlineLvl w:val="2"/>
    </w:pPr>
    <w:rPr>
      <w:rFonts w:ascii="Times New Roman" w:hAnsi="Times New Roman" w:eastAsia="仿宋"/>
      <w:bCs/>
      <w:szCs w:val="32"/>
    </w:rPr>
  </w:style>
  <w:style w:type="paragraph" w:styleId="6">
    <w:name w:val="heading 4"/>
    <w:basedOn w:val="1"/>
    <w:next w:val="1"/>
    <w:link w:val="30"/>
    <w:qFormat/>
    <w:uiPriority w:val="0"/>
    <w:pPr>
      <w:keepNext/>
      <w:keepLines/>
      <w:spacing w:before="280" w:after="290" w:line="376" w:lineRule="auto"/>
      <w:outlineLvl w:val="3"/>
    </w:pPr>
    <w:rPr>
      <w:rFonts w:ascii="等线 Light" w:hAnsi="等线 Light" w:eastAsia="等线 Light"/>
      <w:b/>
      <w:bCs/>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next w:val="1"/>
    <w:qFormat/>
    <w:uiPriority w:val="0"/>
    <w:pPr>
      <w:ind w:firstLine="200" w:firstLineChars="200"/>
    </w:pPr>
  </w:style>
  <w:style w:type="paragraph" w:styleId="8">
    <w:name w:val="annotation text"/>
    <w:basedOn w:val="1"/>
    <w:link w:val="31"/>
    <w:qFormat/>
    <w:uiPriority w:val="0"/>
    <w:pPr>
      <w:jc w:val="left"/>
    </w:pPr>
  </w:style>
  <w:style w:type="paragraph" w:styleId="9">
    <w:name w:val="toc 3"/>
    <w:basedOn w:val="1"/>
    <w:next w:val="1"/>
    <w:qFormat/>
    <w:uiPriority w:val="39"/>
    <w:pPr>
      <w:ind w:left="840" w:leftChars="400"/>
    </w:pPr>
  </w:style>
  <w:style w:type="paragraph" w:styleId="10">
    <w:name w:val="Plain Text"/>
    <w:basedOn w:val="1"/>
    <w:link w:val="32"/>
    <w:unhideWhenUsed/>
    <w:qFormat/>
    <w:uiPriority w:val="0"/>
    <w:pPr>
      <w:ind w:firstLine="0" w:firstLineChars="0"/>
    </w:pPr>
    <w:rPr>
      <w:rFonts w:ascii="宋体" w:hAnsi="Courier New" w:eastAsia="宋体"/>
      <w:sz w:val="21"/>
      <w:szCs w:val="21"/>
    </w:rPr>
  </w:style>
  <w:style w:type="paragraph" w:styleId="11">
    <w:name w:val="Balloon Text"/>
    <w:basedOn w:val="1"/>
    <w:link w:val="33"/>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toc 1"/>
    <w:basedOn w:val="1"/>
    <w:next w:val="1"/>
    <w:qFormat/>
    <w:uiPriority w:val="39"/>
    <w:pPr>
      <w:tabs>
        <w:tab w:val="right" w:leader="dot" w:pos="8296"/>
      </w:tabs>
      <w:spacing w:line="360" w:lineRule="auto"/>
      <w:ind w:firstLine="480"/>
    </w:pPr>
  </w:style>
  <w:style w:type="paragraph" w:styleId="14">
    <w:name w:val="Subtitle"/>
    <w:basedOn w:val="1"/>
    <w:next w:val="1"/>
    <w:link w:val="35"/>
    <w:qFormat/>
    <w:uiPriority w:val="0"/>
    <w:pPr>
      <w:jc w:val="left"/>
      <w:outlineLvl w:val="2"/>
    </w:pPr>
    <w:rPr>
      <w:rFonts w:ascii="Cambria" w:hAnsi="Cambria" w:eastAsia="黑体"/>
      <w:bCs/>
      <w:kern w:val="28"/>
      <w:szCs w:val="32"/>
    </w:rPr>
  </w:style>
  <w:style w:type="paragraph" w:styleId="15">
    <w:name w:val="toc 2"/>
    <w:basedOn w:val="1"/>
    <w:next w:val="1"/>
    <w:qFormat/>
    <w:uiPriority w:val="39"/>
    <w:pPr>
      <w:tabs>
        <w:tab w:val="right" w:leader="dot" w:pos="8296"/>
      </w:tabs>
      <w:ind w:left="560" w:leftChars="200" w:firstLine="560"/>
    </w:pPr>
    <w:rPr>
      <w:rFonts w:ascii="仿宋" w:hAnsi="仿宋" w:eastAsia="仿宋"/>
    </w:rPr>
  </w:style>
  <w:style w:type="paragraph" w:styleId="16">
    <w:name w:val="HTML Preformatted"/>
    <w:basedOn w:val="1"/>
    <w:link w:val="36"/>
    <w:qFormat/>
    <w:uiPriority w:val="0"/>
    <w:rPr>
      <w:rFonts w:ascii="Courier New" w:hAnsi="Courier New"/>
      <w:sz w:val="20"/>
      <w:szCs w:val="20"/>
    </w:rPr>
  </w:style>
  <w:style w:type="paragraph" w:styleId="17">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8">
    <w:name w:val="Title"/>
    <w:basedOn w:val="1"/>
    <w:next w:val="1"/>
    <w:link w:val="37"/>
    <w:qFormat/>
    <w:uiPriority w:val="0"/>
    <w:pPr>
      <w:spacing w:before="240" w:after="60"/>
      <w:jc w:val="left"/>
      <w:outlineLvl w:val="0"/>
    </w:pPr>
    <w:rPr>
      <w:rFonts w:ascii="Calibri Light" w:hAnsi="Calibri Light" w:eastAsia="仿宋"/>
      <w:b/>
      <w:bCs/>
      <w:szCs w:val="32"/>
    </w:rPr>
  </w:style>
  <w:style w:type="paragraph" w:styleId="19">
    <w:name w:val="annotation subject"/>
    <w:basedOn w:val="8"/>
    <w:next w:val="8"/>
    <w:link w:val="38"/>
    <w:qFormat/>
    <w:uiPriority w:val="0"/>
    <w:rPr>
      <w:b/>
      <w:bCs/>
    </w:rPr>
  </w:style>
  <w:style w:type="character" w:styleId="22">
    <w:name w:val="Strong"/>
    <w:qFormat/>
    <w:uiPriority w:val="0"/>
    <w:rPr>
      <w:b/>
    </w:rPr>
  </w:style>
  <w:style w:type="character" w:styleId="23">
    <w:name w:val="FollowedHyperlink"/>
    <w:qFormat/>
    <w:uiPriority w:val="0"/>
    <w:rPr>
      <w:color w:val="954F72"/>
      <w:u w:val="single"/>
    </w:rPr>
  </w:style>
  <w:style w:type="character" w:styleId="24">
    <w:name w:val="Hyperlink"/>
    <w:qFormat/>
    <w:uiPriority w:val="99"/>
    <w:rPr>
      <w:color w:val="0563C1"/>
      <w:u w:val="single"/>
    </w:rPr>
  </w:style>
  <w:style w:type="character" w:styleId="25">
    <w:name w:val="annotation reference"/>
    <w:qFormat/>
    <w:uiPriority w:val="0"/>
    <w:rPr>
      <w:sz w:val="21"/>
      <w:szCs w:val="21"/>
    </w:rPr>
  </w:style>
  <w:style w:type="character" w:customStyle="1" w:styleId="26">
    <w:name w:val="页眉 字符"/>
    <w:link w:val="2"/>
    <w:qFormat/>
    <w:uiPriority w:val="0"/>
    <w:rPr>
      <w:rFonts w:eastAsia="仿宋_GB2312"/>
      <w:kern w:val="2"/>
      <w:sz w:val="18"/>
      <w:szCs w:val="18"/>
    </w:rPr>
  </w:style>
  <w:style w:type="character" w:customStyle="1" w:styleId="27">
    <w:name w:val="标题 1 字符"/>
    <w:link w:val="3"/>
    <w:qFormat/>
    <w:locked/>
    <w:uiPriority w:val="0"/>
    <w:rPr>
      <w:rFonts w:ascii="Times New Roman" w:hAnsi="Times New Roman" w:eastAsia="黑体"/>
      <w:b/>
      <w:bCs/>
      <w:kern w:val="44"/>
      <w:sz w:val="30"/>
      <w:szCs w:val="44"/>
      <w:lang w:val="en-US" w:eastAsia="zh-CN" w:bidi="ar-SA"/>
    </w:rPr>
  </w:style>
  <w:style w:type="character" w:customStyle="1" w:styleId="28">
    <w:name w:val="标题 2 字符"/>
    <w:link w:val="4"/>
    <w:qFormat/>
    <w:uiPriority w:val="0"/>
    <w:rPr>
      <w:rFonts w:ascii="Calibri Light" w:hAnsi="Calibri Light" w:eastAsia="宋体" w:cs="Times New Roman"/>
      <w:b/>
      <w:bCs/>
      <w:kern w:val="2"/>
      <w:sz w:val="28"/>
      <w:szCs w:val="32"/>
    </w:rPr>
  </w:style>
  <w:style w:type="character" w:customStyle="1" w:styleId="29">
    <w:name w:val="标题 3 字符"/>
    <w:link w:val="5"/>
    <w:qFormat/>
    <w:uiPriority w:val="0"/>
    <w:rPr>
      <w:rFonts w:ascii="Times New Roman" w:hAnsi="Times New Roman" w:eastAsia="仿宋"/>
      <w:bCs/>
      <w:kern w:val="2"/>
      <w:sz w:val="28"/>
      <w:szCs w:val="32"/>
    </w:rPr>
  </w:style>
  <w:style w:type="character" w:customStyle="1" w:styleId="30">
    <w:name w:val="标题 4 字符"/>
    <w:link w:val="6"/>
    <w:qFormat/>
    <w:uiPriority w:val="0"/>
    <w:rPr>
      <w:rFonts w:ascii="等线 Light" w:hAnsi="等线 Light" w:eastAsia="等线 Light" w:cs="Times New Roman"/>
      <w:b/>
      <w:bCs/>
      <w:kern w:val="2"/>
      <w:sz w:val="28"/>
      <w:szCs w:val="28"/>
    </w:rPr>
  </w:style>
  <w:style w:type="character" w:customStyle="1" w:styleId="31">
    <w:name w:val="批注文字 字符"/>
    <w:link w:val="8"/>
    <w:qFormat/>
    <w:uiPriority w:val="0"/>
    <w:rPr>
      <w:rFonts w:eastAsia="仿宋_GB2312"/>
      <w:kern w:val="2"/>
      <w:sz w:val="28"/>
      <w:szCs w:val="22"/>
    </w:rPr>
  </w:style>
  <w:style w:type="character" w:customStyle="1" w:styleId="32">
    <w:name w:val="纯文本 字符"/>
    <w:link w:val="10"/>
    <w:qFormat/>
    <w:uiPriority w:val="0"/>
    <w:rPr>
      <w:rFonts w:ascii="宋体" w:hAnsi="Courier New" w:cs="Courier New"/>
      <w:kern w:val="2"/>
      <w:sz w:val="21"/>
      <w:szCs w:val="21"/>
    </w:rPr>
  </w:style>
  <w:style w:type="character" w:customStyle="1" w:styleId="33">
    <w:name w:val="批注框文本 字符"/>
    <w:link w:val="11"/>
    <w:qFormat/>
    <w:uiPriority w:val="0"/>
    <w:rPr>
      <w:rFonts w:eastAsia="仿宋_GB2312"/>
      <w:kern w:val="2"/>
      <w:sz w:val="18"/>
      <w:szCs w:val="18"/>
    </w:rPr>
  </w:style>
  <w:style w:type="character" w:customStyle="1" w:styleId="34">
    <w:name w:val="页脚 字符"/>
    <w:link w:val="12"/>
    <w:qFormat/>
    <w:uiPriority w:val="99"/>
    <w:rPr>
      <w:rFonts w:eastAsia="仿宋_GB2312"/>
      <w:kern w:val="2"/>
      <w:sz w:val="18"/>
      <w:szCs w:val="18"/>
    </w:rPr>
  </w:style>
  <w:style w:type="character" w:customStyle="1" w:styleId="35">
    <w:name w:val="副标题 字符"/>
    <w:link w:val="14"/>
    <w:qFormat/>
    <w:locked/>
    <w:uiPriority w:val="0"/>
    <w:rPr>
      <w:rFonts w:ascii="Cambria" w:hAnsi="Cambria" w:eastAsia="黑体"/>
      <w:bCs/>
      <w:kern w:val="28"/>
      <w:sz w:val="28"/>
      <w:szCs w:val="32"/>
      <w:lang w:val="en-US" w:eastAsia="zh-CN" w:bidi="ar-SA"/>
    </w:rPr>
  </w:style>
  <w:style w:type="character" w:customStyle="1" w:styleId="36">
    <w:name w:val="HTML 预设格式 字符"/>
    <w:link w:val="16"/>
    <w:qFormat/>
    <w:uiPriority w:val="0"/>
    <w:rPr>
      <w:rFonts w:ascii="Courier New" w:hAnsi="Courier New" w:eastAsia="仿宋_GB2312" w:cs="Courier New"/>
      <w:kern w:val="2"/>
    </w:rPr>
  </w:style>
  <w:style w:type="character" w:customStyle="1" w:styleId="37">
    <w:name w:val="标题 字符"/>
    <w:link w:val="18"/>
    <w:qFormat/>
    <w:uiPriority w:val="0"/>
    <w:rPr>
      <w:rFonts w:ascii="Calibri Light" w:hAnsi="Calibri Light" w:eastAsia="仿宋"/>
      <w:b/>
      <w:bCs/>
      <w:kern w:val="2"/>
      <w:sz w:val="28"/>
      <w:szCs w:val="32"/>
    </w:rPr>
  </w:style>
  <w:style w:type="character" w:customStyle="1" w:styleId="38">
    <w:name w:val="批注主题 字符"/>
    <w:link w:val="19"/>
    <w:qFormat/>
    <w:uiPriority w:val="0"/>
    <w:rPr>
      <w:rFonts w:eastAsia="仿宋_GB2312"/>
      <w:b/>
      <w:bCs/>
      <w:kern w:val="2"/>
      <w:sz w:val="28"/>
      <w:szCs w:val="22"/>
    </w:rPr>
  </w:style>
  <w:style w:type="character" w:customStyle="1" w:styleId="39">
    <w:name w:val="无缩进 Char"/>
    <w:link w:val="40"/>
    <w:qFormat/>
    <w:locked/>
    <w:uiPriority w:val="0"/>
    <w:rPr>
      <w:rFonts w:eastAsia="仿宋_GB2312"/>
      <w:kern w:val="2"/>
      <w:sz w:val="28"/>
      <w:szCs w:val="22"/>
      <w:lang w:val="en-US" w:eastAsia="zh-CN" w:bidi="ar-SA"/>
    </w:rPr>
  </w:style>
  <w:style w:type="paragraph" w:customStyle="1" w:styleId="40">
    <w:name w:val="无缩进"/>
    <w:basedOn w:val="1"/>
    <w:link w:val="39"/>
    <w:qFormat/>
    <w:uiPriority w:val="0"/>
    <w:pPr>
      <w:ind w:firstLine="0" w:firstLineChars="0"/>
    </w:pPr>
  </w:style>
  <w:style w:type="paragraph" w:customStyle="1" w:styleId="41">
    <w:name w:val="_Style 40"/>
    <w:basedOn w:val="3"/>
    <w:next w:val="1"/>
    <w:qFormat/>
    <w:uiPriority w:val="39"/>
    <w:pPr>
      <w:widowControl/>
      <w:spacing w:before="240" w:line="259" w:lineRule="auto"/>
      <w:jc w:val="left"/>
      <w:outlineLvl w:val="9"/>
    </w:pPr>
    <w:rPr>
      <w:rFonts w:ascii="Calibri Light" w:hAnsi="Calibri Light" w:eastAsia="宋体" w:cs="Times New Roman"/>
      <w:b w:val="0"/>
      <w:bCs w:val="0"/>
      <w:color w:val="2E74B5"/>
      <w:kern w:val="0"/>
      <w:sz w:val="32"/>
      <w:szCs w:val="32"/>
    </w:rPr>
  </w:style>
  <w:style w:type="character" w:customStyle="1" w:styleId="42">
    <w:name w:val="font21"/>
    <w:qFormat/>
    <w:uiPriority w:val="0"/>
    <w:rPr>
      <w:rFonts w:hint="eastAsia" w:ascii="宋体" w:hAnsi="宋体" w:eastAsia="宋体" w:cs="宋体"/>
      <w:color w:val="000000"/>
      <w:sz w:val="18"/>
      <w:szCs w:val="18"/>
      <w:u w:val="none"/>
    </w:rPr>
  </w:style>
  <w:style w:type="character" w:customStyle="1" w:styleId="43">
    <w:name w:val="font11"/>
    <w:qFormat/>
    <w:uiPriority w:val="0"/>
    <w:rPr>
      <w:rFonts w:hint="eastAsia" w:ascii="宋体" w:hAnsi="宋体" w:eastAsia="宋体" w:cs="宋体"/>
      <w:color w:val="000000"/>
      <w:sz w:val="21"/>
      <w:szCs w:val="21"/>
      <w:u w:val="none"/>
    </w:rPr>
  </w:style>
  <w:style w:type="character" w:customStyle="1" w:styleId="44">
    <w:name w:val="font01"/>
    <w:qFormat/>
    <w:uiPriority w:val="0"/>
    <w:rPr>
      <w:rFonts w:hint="default" w:ascii="Tahoma" w:hAnsi="Tahoma" w:eastAsia="Tahoma" w:cs="Tahoma"/>
      <w:color w:val="000000"/>
      <w:sz w:val="22"/>
      <w:szCs w:val="22"/>
      <w:u w:val="none"/>
    </w:r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7195</Words>
  <Characters>7623</Characters>
  <Lines>74</Lines>
  <Paragraphs>21</Paragraphs>
  <TotalTime>35</TotalTime>
  <ScaleCrop>false</ScaleCrop>
  <LinksUpToDate>false</LinksUpToDate>
  <CharactersWithSpaces>7725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2021-06-10T02:54:00Z</dcterms:created>
  <dc:creator>陈栋</dc:creator>
  <cp:lastModifiedBy>凡特赛</cp:lastModifiedBy>
  <cp:lastPrinted>2024-05-20T02:08:00Z</cp:lastPrinted>
  <dcterms:modified xsi:type="dcterms:W3CDTF">2024-06-04T00:46:47Z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84C214239B3546B88D4957D8E924AA5E_13</vt:lpwstr>
  </property>
</Properties>
</file>