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autoSpaceDE/>
        <w:autoSpaceDN/>
        <w:bidi w:val="0"/>
        <w:adjustRightInd/>
        <w:snapToGrid w:val="0"/>
        <w:spacing w:line="520" w:lineRule="exact"/>
        <w:jc w:val="center"/>
        <w:textAlignment w:val="auto"/>
        <w:rPr>
          <w:rFonts w:ascii="宋体" w:hAnsi="宋体"/>
          <w:b/>
          <w:sz w:val="52"/>
        </w:rPr>
      </w:pPr>
    </w:p>
    <w:p>
      <w:pPr>
        <w:pageBreakBefore w:val="0"/>
        <w:kinsoku/>
        <w:overflowPunct/>
        <w:topLinePunct w:val="0"/>
        <w:autoSpaceDE/>
        <w:autoSpaceDN/>
        <w:bidi w:val="0"/>
        <w:adjustRightInd/>
        <w:snapToGrid w:val="0"/>
        <w:spacing w:line="520" w:lineRule="exact"/>
        <w:jc w:val="center"/>
        <w:textAlignment w:val="auto"/>
        <w:rPr>
          <w:rFonts w:ascii="宋体" w:hAnsi="宋体"/>
          <w:b/>
          <w:sz w:val="52"/>
        </w:rPr>
      </w:pPr>
    </w:p>
    <w:p>
      <w:pPr>
        <w:pageBreakBefore w:val="0"/>
        <w:kinsoku/>
        <w:overflowPunct/>
        <w:topLinePunct w:val="0"/>
        <w:autoSpaceDE/>
        <w:autoSpaceDN/>
        <w:bidi w:val="0"/>
        <w:adjustRightInd/>
        <w:snapToGrid w:val="0"/>
        <w:spacing w:line="520" w:lineRule="exact"/>
        <w:jc w:val="center"/>
        <w:textAlignment w:val="auto"/>
        <w:rPr>
          <w:rFonts w:ascii="宋体" w:hAnsi="宋体"/>
          <w:b/>
          <w:sz w:val="52"/>
        </w:rPr>
      </w:pPr>
    </w:p>
    <w:p>
      <w:pPr>
        <w:pageBreakBefore w:val="0"/>
        <w:kinsoku/>
        <w:overflowPunct/>
        <w:topLinePunct w:val="0"/>
        <w:autoSpaceDE/>
        <w:autoSpaceDN/>
        <w:bidi w:val="0"/>
        <w:adjustRightInd/>
        <w:snapToGrid w:val="0"/>
        <w:spacing w:line="360" w:lineRule="auto"/>
        <w:jc w:val="center"/>
        <w:textAlignment w:val="auto"/>
        <w:rPr>
          <w:rFonts w:ascii="黑体" w:hAnsi="黑体" w:eastAsia="黑体" w:cs="黑体"/>
          <w:b/>
          <w:bCs/>
          <w:sz w:val="44"/>
          <w:szCs w:val="44"/>
        </w:rPr>
      </w:pPr>
      <w:r>
        <w:rPr>
          <w:rFonts w:hint="eastAsia" w:ascii="黑体" w:hAnsi="黑体" w:eastAsia="黑体" w:cs="黑体"/>
          <w:b/>
          <w:bCs/>
          <w:sz w:val="44"/>
          <w:szCs w:val="44"/>
        </w:rPr>
        <w:t>北京市社会科学院2023年度部门</w:t>
      </w:r>
    </w:p>
    <w:p>
      <w:pPr>
        <w:pageBreakBefore w:val="0"/>
        <w:kinsoku/>
        <w:overflowPunct/>
        <w:topLinePunct w:val="0"/>
        <w:autoSpaceDE/>
        <w:autoSpaceDN/>
        <w:bidi w:val="0"/>
        <w:adjustRightInd/>
        <w:snapToGrid w:val="0"/>
        <w:spacing w:line="360" w:lineRule="auto"/>
        <w:jc w:val="center"/>
        <w:textAlignment w:val="auto"/>
        <w:rPr>
          <w:rFonts w:ascii="黑体" w:hAnsi="黑体" w:eastAsia="黑体" w:cs="黑体"/>
          <w:b/>
          <w:sz w:val="44"/>
          <w:szCs w:val="21"/>
        </w:rPr>
      </w:pPr>
      <w:r>
        <w:rPr>
          <w:rFonts w:hint="eastAsia" w:ascii="黑体" w:hAnsi="黑体" w:eastAsia="黑体" w:cs="黑体"/>
          <w:b/>
          <w:bCs/>
          <w:sz w:val="44"/>
          <w:szCs w:val="44"/>
        </w:rPr>
        <w:t>整体支出绩效评价报告</w:t>
      </w:r>
    </w:p>
    <w:p>
      <w:pPr>
        <w:pageBreakBefore w:val="0"/>
        <w:kinsoku/>
        <w:overflowPunct/>
        <w:topLinePunct w:val="0"/>
        <w:autoSpaceDE/>
        <w:autoSpaceDN/>
        <w:bidi w:val="0"/>
        <w:adjustRightInd/>
        <w:snapToGrid w:val="0"/>
        <w:spacing w:line="360" w:lineRule="auto"/>
        <w:jc w:val="center"/>
        <w:textAlignment w:val="auto"/>
        <w:rPr>
          <w:rFonts w:ascii="仿宋_GB2312" w:eastAsia="仿宋_GB2312"/>
          <w:b/>
          <w:sz w:val="52"/>
        </w:rPr>
      </w:pPr>
    </w:p>
    <w:p>
      <w:pPr>
        <w:pageBreakBefore w:val="0"/>
        <w:kinsoku/>
        <w:overflowPunct/>
        <w:topLinePunct w:val="0"/>
        <w:autoSpaceDE/>
        <w:autoSpaceDN/>
        <w:bidi w:val="0"/>
        <w:adjustRightInd/>
        <w:snapToGrid w:val="0"/>
        <w:spacing w:line="360" w:lineRule="auto"/>
        <w:jc w:val="center"/>
        <w:textAlignment w:val="auto"/>
        <w:rPr>
          <w:rFonts w:ascii="仿宋_GB2312" w:eastAsia="仿宋_GB2312"/>
          <w:sz w:val="30"/>
        </w:rPr>
      </w:pPr>
    </w:p>
    <w:p>
      <w:pPr>
        <w:pageBreakBefore w:val="0"/>
        <w:kinsoku/>
        <w:overflowPunct/>
        <w:topLinePunct w:val="0"/>
        <w:autoSpaceDE/>
        <w:autoSpaceDN/>
        <w:bidi w:val="0"/>
        <w:adjustRightInd/>
        <w:snapToGrid w:val="0"/>
        <w:spacing w:line="360" w:lineRule="auto"/>
        <w:jc w:val="center"/>
        <w:textAlignment w:val="auto"/>
        <w:rPr>
          <w:rFonts w:ascii="仿宋_GB2312" w:eastAsia="仿宋_GB2312"/>
          <w:sz w:val="30"/>
        </w:rPr>
      </w:pPr>
    </w:p>
    <w:p>
      <w:pPr>
        <w:pageBreakBefore w:val="0"/>
        <w:kinsoku/>
        <w:overflowPunct/>
        <w:topLinePunct w:val="0"/>
        <w:autoSpaceDE/>
        <w:autoSpaceDN/>
        <w:bidi w:val="0"/>
        <w:adjustRightInd/>
        <w:snapToGrid w:val="0"/>
        <w:spacing w:line="360" w:lineRule="auto"/>
        <w:textAlignment w:val="auto"/>
        <w:rPr>
          <w:rFonts w:ascii="黑体" w:hAnsi="黑体" w:eastAsia="黑体" w:cs="黑体"/>
          <w:sz w:val="30"/>
        </w:rPr>
      </w:pPr>
    </w:p>
    <w:p>
      <w:pPr>
        <w:pageBreakBefore w:val="0"/>
        <w:kinsoku/>
        <w:overflowPunct/>
        <w:topLinePunct w:val="0"/>
        <w:autoSpaceDE/>
        <w:autoSpaceDN/>
        <w:bidi w:val="0"/>
        <w:adjustRightInd/>
        <w:snapToGrid w:val="0"/>
        <w:spacing w:line="360" w:lineRule="auto"/>
        <w:textAlignment w:val="auto"/>
        <w:rPr>
          <w:rFonts w:ascii="黑体" w:hAnsi="黑体" w:eastAsia="黑体" w:cs="黑体"/>
          <w:sz w:val="30"/>
        </w:rPr>
      </w:pPr>
    </w:p>
    <w:p>
      <w:pPr>
        <w:pageBreakBefore w:val="0"/>
        <w:kinsoku/>
        <w:overflowPunct/>
        <w:topLinePunct w:val="0"/>
        <w:autoSpaceDE/>
        <w:autoSpaceDN/>
        <w:bidi w:val="0"/>
        <w:adjustRightInd/>
        <w:snapToGrid w:val="0"/>
        <w:spacing w:line="360" w:lineRule="auto"/>
        <w:textAlignment w:val="auto"/>
        <w:rPr>
          <w:rFonts w:ascii="黑体" w:hAnsi="黑体" w:eastAsia="黑体" w:cs="黑体"/>
          <w:sz w:val="30"/>
        </w:rPr>
      </w:pPr>
    </w:p>
    <w:p>
      <w:pPr>
        <w:pageBreakBefore w:val="0"/>
        <w:kinsoku/>
        <w:overflowPunct/>
        <w:topLinePunct w:val="0"/>
        <w:autoSpaceDE/>
        <w:autoSpaceDN/>
        <w:bidi w:val="0"/>
        <w:adjustRightInd/>
        <w:snapToGrid w:val="0"/>
        <w:spacing w:line="360" w:lineRule="auto"/>
        <w:ind w:left="210" w:leftChars="100"/>
        <w:textAlignment w:val="auto"/>
        <w:rPr>
          <w:rFonts w:ascii="黑体" w:hAnsi="黑体" w:eastAsia="黑体" w:cs="黑体"/>
          <w:sz w:val="32"/>
          <w:szCs w:val="32"/>
          <w:u w:val="single"/>
        </w:rPr>
      </w:pPr>
      <w:r>
        <w:rPr>
          <w:rFonts w:hint="eastAsia" w:ascii="黑体" w:hAnsi="黑体" w:eastAsia="黑体" w:cs="黑体"/>
          <w:sz w:val="32"/>
          <w:szCs w:val="32"/>
        </w:rPr>
        <w:t xml:space="preserve">部门名称 </w:t>
      </w:r>
      <w:r>
        <w:rPr>
          <w:rFonts w:hint="eastAsia" w:ascii="黑体" w:hAnsi="黑体" w:eastAsia="黑体" w:cs="黑体"/>
          <w:sz w:val="32"/>
          <w:szCs w:val="32"/>
          <w:u w:val="single"/>
        </w:rPr>
        <w:t xml:space="preserve">  北京市社会科学院                                  </w:t>
      </w:r>
    </w:p>
    <w:p>
      <w:pPr>
        <w:pageBreakBefore w:val="0"/>
        <w:tabs>
          <w:tab w:val="left" w:pos="3060"/>
          <w:tab w:val="left" w:pos="4140"/>
        </w:tabs>
        <w:kinsoku/>
        <w:overflowPunct/>
        <w:topLinePunct w:val="0"/>
        <w:autoSpaceDE/>
        <w:autoSpaceDN/>
        <w:bidi w:val="0"/>
        <w:adjustRightInd/>
        <w:snapToGrid w:val="0"/>
        <w:spacing w:line="360" w:lineRule="auto"/>
        <w:ind w:left="210" w:leftChars="100"/>
        <w:textAlignment w:val="auto"/>
        <w:rPr>
          <w:rFonts w:ascii="黑体" w:hAnsi="黑体" w:eastAsia="黑体" w:cs="黑体"/>
          <w:kern w:val="10"/>
          <w:sz w:val="32"/>
          <w:szCs w:val="32"/>
          <w:u w:val="single"/>
        </w:rPr>
      </w:pPr>
      <w:r>
        <w:rPr>
          <w:rFonts w:hint="eastAsia" w:ascii="黑体" w:hAnsi="黑体" w:eastAsia="黑体" w:cs="黑体"/>
          <w:sz w:val="32"/>
          <w:szCs w:val="32"/>
        </w:rPr>
        <w:t xml:space="preserve">评价机构 </w:t>
      </w:r>
      <w:r>
        <w:rPr>
          <w:rFonts w:hint="eastAsia" w:ascii="黑体" w:hAnsi="黑体" w:eastAsia="黑体" w:cs="黑体"/>
          <w:kern w:val="10"/>
          <w:sz w:val="32"/>
          <w:szCs w:val="32"/>
          <w:u w:val="single"/>
        </w:rPr>
        <w:t xml:space="preserve">  北京市</w:t>
      </w:r>
      <w:r>
        <w:rPr>
          <w:rFonts w:hint="eastAsia" w:ascii="黑体" w:hAnsi="黑体" w:eastAsia="黑体" w:cs="黑体"/>
          <w:sz w:val="32"/>
          <w:szCs w:val="32"/>
          <w:u w:val="single"/>
        </w:rPr>
        <w:t>社会科学院</w:t>
      </w:r>
      <w:r>
        <w:rPr>
          <w:rFonts w:hint="eastAsia" w:ascii="黑体" w:hAnsi="黑体" w:eastAsia="黑体" w:cs="黑体"/>
          <w:kern w:val="10"/>
          <w:sz w:val="32"/>
          <w:szCs w:val="32"/>
          <w:u w:val="single"/>
        </w:rPr>
        <w:t xml:space="preserve">                                 </w:t>
      </w:r>
    </w:p>
    <w:p>
      <w:pPr>
        <w:pageBreakBefore w:val="0"/>
        <w:kinsoku/>
        <w:overflowPunct/>
        <w:topLinePunct w:val="0"/>
        <w:autoSpaceDE/>
        <w:autoSpaceDN/>
        <w:bidi w:val="0"/>
        <w:adjustRightInd/>
        <w:snapToGrid w:val="0"/>
        <w:spacing w:line="360" w:lineRule="auto"/>
        <w:ind w:left="210" w:leftChars="100"/>
        <w:textAlignment w:val="auto"/>
        <w:rPr>
          <w:rFonts w:ascii="黑体" w:hAnsi="黑体" w:eastAsia="黑体" w:cs="黑体"/>
          <w:sz w:val="32"/>
          <w:szCs w:val="32"/>
        </w:rPr>
      </w:pPr>
      <w:r>
        <w:rPr>
          <w:rFonts w:ascii="黑体" w:hAnsi="黑体" w:eastAsia="黑体" w:cs="黑体"/>
          <w:sz w:val="32"/>
          <w:szCs w:val="32"/>
        </w:rPr>
        <mc:AlternateContent>
          <mc:Choice Requires="wps">
            <w:drawing>
              <wp:anchor distT="0" distB="0" distL="114300" distR="114300" simplePos="0" relativeHeight="251659264" behindDoc="0" locked="0" layoutInCell="1" allowOverlap="1">
                <wp:simplePos x="0" y="0"/>
                <wp:positionH relativeFrom="column">
                  <wp:posOffset>989330</wp:posOffset>
                </wp:positionH>
                <wp:positionV relativeFrom="paragraph">
                  <wp:posOffset>53340</wp:posOffset>
                </wp:positionV>
                <wp:extent cx="4378325" cy="723900"/>
                <wp:effectExtent l="4445" t="4445" r="11430" b="8255"/>
                <wp:wrapNone/>
                <wp:docPr id="1" name="文本框 2"/>
                <wp:cNvGraphicFramePr/>
                <a:graphic xmlns:a="http://schemas.openxmlformats.org/drawingml/2006/main">
                  <a:graphicData uri="http://schemas.microsoft.com/office/word/2010/wordprocessingShape">
                    <wps:wsp>
                      <wps:cNvSpPr txBox="1"/>
                      <wps:spPr>
                        <a:xfrm>
                          <a:off x="0" y="0"/>
                          <a:ext cx="4378325" cy="723900"/>
                        </a:xfrm>
                        <a:prstGeom prst="rect">
                          <a:avLst/>
                        </a:prstGeom>
                        <a:noFill/>
                        <a:ln w="9525" cap="flat" cmpd="sng">
                          <a:solidFill>
                            <a:srgbClr val="FFFFFF"/>
                          </a:solidFill>
                          <a:prstDash val="solid"/>
                          <a:miter/>
                          <a:headEnd type="none" w="med" len="med"/>
                          <a:tailEnd type="none" w="med" len="med"/>
                        </a:ln>
                      </wps:spPr>
                      <wps:txbx>
                        <w:txbxContent>
                          <w:p>
                            <w:pPr>
                              <w:rPr>
                                <w:u w:val="single"/>
                              </w:rPr>
                            </w:pPr>
                            <w:r>
                              <w:rPr>
                                <w:rFonts w:hint="eastAsia" w:ascii="黑体" w:hAnsi="黑体" w:eastAsia="黑体" w:cs="黑体"/>
                                <w:sz w:val="32"/>
                                <w:szCs w:val="32"/>
                                <w:u w:val="single"/>
                              </w:rPr>
                              <w:t xml:space="preserve">  北京玮博合利会计师事务所有限公司               </w:t>
                            </w:r>
                          </w:p>
                        </w:txbxContent>
                      </wps:txbx>
                      <wps:bodyPr wrap="square" upright="1"/>
                    </wps:wsp>
                  </a:graphicData>
                </a:graphic>
              </wp:anchor>
            </w:drawing>
          </mc:Choice>
          <mc:Fallback>
            <w:pict>
              <v:shape id="文本框 2" o:spid="_x0000_s1026" o:spt="202" type="#_x0000_t202" style="position:absolute;left:0pt;margin-left:77.9pt;margin-top:4.2pt;height:57pt;width:344.75pt;z-index:251659264;mso-width-relative:page;mso-height-relative:page;" filled="f" stroked="t" coordsize="21600,21600" o:gfxdata="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K6uO31wAAAAkBAAAPAAAAAAAAAAEA&#10;IAAAACIAAABkcnMvZG93bnJldi54bWxQSwECFAAUAAAACACHTuJAxpIg4BACAAAbBAAADgAAAAAA&#10;AAABACAAAAAmAQAAZHJzL2Uyb0RvYy54bWxQSwUGAAAAAAYABgBZAQAAqAUAAAAA&#10;">
                <v:fill on="f" focussize="0,0"/>
                <v:stroke color="#FFFFFF" joinstyle="miter"/>
                <v:imagedata o:title=""/>
                <o:lock v:ext="edit" aspectratio="f"/>
                <v:textbox>
                  <w:txbxContent>
                    <w:p>
                      <w:pPr>
                        <w:rPr>
                          <w:u w:val="single"/>
                        </w:rPr>
                      </w:pPr>
                      <w:r>
                        <w:rPr>
                          <w:rFonts w:hint="eastAsia" w:ascii="黑体" w:hAnsi="黑体" w:eastAsia="黑体" w:cs="黑体"/>
                          <w:sz w:val="32"/>
                          <w:szCs w:val="32"/>
                          <w:u w:val="single"/>
                        </w:rPr>
                        <w:t xml:space="preserve">  北京玮博合利会计师事务所有限公司               </w:t>
                      </w:r>
                    </w:p>
                  </w:txbxContent>
                </v:textbox>
              </v:shape>
            </w:pict>
          </mc:Fallback>
        </mc:AlternateContent>
      </w:r>
      <w:r>
        <w:rPr>
          <w:rFonts w:hint="eastAsia" w:ascii="黑体" w:hAnsi="黑体" w:eastAsia="黑体" w:cs="黑体"/>
          <w:sz w:val="32"/>
          <w:szCs w:val="32"/>
        </w:rPr>
        <w:t>参与评价</w:t>
      </w:r>
    </w:p>
    <w:p>
      <w:pPr>
        <w:pageBreakBefore w:val="0"/>
        <w:kinsoku/>
        <w:overflowPunct/>
        <w:topLinePunct w:val="0"/>
        <w:autoSpaceDE/>
        <w:autoSpaceDN/>
        <w:bidi w:val="0"/>
        <w:adjustRightInd/>
        <w:snapToGrid w:val="0"/>
        <w:spacing w:line="360" w:lineRule="auto"/>
        <w:ind w:left="210" w:leftChars="100"/>
        <w:textAlignment w:val="auto"/>
        <w:rPr>
          <w:rFonts w:ascii="黑体" w:hAnsi="黑体" w:eastAsia="黑体" w:cs="黑体"/>
          <w:sz w:val="32"/>
          <w:szCs w:val="32"/>
        </w:rPr>
      </w:pPr>
      <w:r>
        <w:rPr>
          <w:rFonts w:hint="eastAsia" w:ascii="黑体" w:hAnsi="黑体" w:eastAsia="黑体" w:cs="黑体"/>
          <w:sz w:val="32"/>
          <w:szCs w:val="32"/>
        </w:rPr>
        <w:t>中介机构</w:t>
      </w:r>
    </w:p>
    <w:p>
      <w:pPr>
        <w:pageBreakBefore w:val="0"/>
        <w:kinsoku/>
        <w:overflowPunct/>
        <w:topLinePunct w:val="0"/>
        <w:autoSpaceDE/>
        <w:autoSpaceDN/>
        <w:bidi w:val="0"/>
        <w:adjustRightInd/>
        <w:spacing w:line="360" w:lineRule="auto"/>
        <w:jc w:val="center"/>
        <w:textAlignment w:val="auto"/>
        <w:rPr>
          <w:rFonts w:ascii="黑体" w:eastAsia="黑体"/>
          <w:sz w:val="36"/>
          <w:szCs w:val="36"/>
        </w:rPr>
      </w:pPr>
    </w:p>
    <w:p>
      <w:pPr>
        <w:pStyle w:val="8"/>
        <w:pageBreakBefore w:val="0"/>
        <w:kinsoku/>
        <w:overflowPunct/>
        <w:topLinePunct w:val="0"/>
        <w:autoSpaceDE/>
        <w:autoSpaceDN/>
        <w:bidi w:val="0"/>
        <w:adjustRightInd/>
        <w:spacing w:line="360" w:lineRule="auto"/>
        <w:textAlignment w:val="auto"/>
      </w:pPr>
    </w:p>
    <w:p>
      <w:pPr>
        <w:pStyle w:val="9"/>
        <w:pageBreakBefore w:val="0"/>
        <w:kinsoku/>
        <w:overflowPunct/>
        <w:topLinePunct w:val="0"/>
        <w:autoSpaceDE/>
        <w:autoSpaceDN/>
        <w:bidi w:val="0"/>
        <w:adjustRightInd/>
        <w:spacing w:line="360" w:lineRule="auto"/>
        <w:textAlignment w:val="auto"/>
        <w:rPr>
          <w:rFonts w:ascii="黑体" w:eastAsia="黑体"/>
          <w:sz w:val="36"/>
          <w:szCs w:val="36"/>
        </w:rPr>
      </w:pPr>
    </w:p>
    <w:p>
      <w:pPr>
        <w:pageBreakBefore w:val="0"/>
        <w:kinsoku/>
        <w:overflowPunct/>
        <w:topLinePunct w:val="0"/>
        <w:autoSpaceDE/>
        <w:autoSpaceDN/>
        <w:bidi w:val="0"/>
        <w:adjustRightInd/>
        <w:spacing w:line="360" w:lineRule="auto"/>
        <w:textAlignment w:val="auto"/>
      </w:pPr>
    </w:p>
    <w:p>
      <w:pPr>
        <w:pageBreakBefore w:val="0"/>
        <w:kinsoku/>
        <w:overflowPunct/>
        <w:topLinePunct w:val="0"/>
        <w:autoSpaceDE/>
        <w:autoSpaceDN/>
        <w:bidi w:val="0"/>
        <w:adjustRightInd/>
        <w:spacing w:line="360" w:lineRule="auto"/>
        <w:jc w:val="center"/>
        <w:textAlignment w:val="auto"/>
        <w:rPr>
          <w:rFonts w:ascii="仿宋" w:hAnsi="仿宋" w:eastAsia="仿宋" w:cs="仿宋"/>
          <w:b/>
          <w:bCs/>
          <w:sz w:val="28"/>
          <w:szCs w:val="28"/>
        </w:rPr>
      </w:pPr>
      <w:r>
        <w:rPr>
          <w:rFonts w:hint="eastAsia" w:ascii="黑体" w:eastAsia="黑体"/>
          <w:sz w:val="36"/>
          <w:szCs w:val="36"/>
        </w:rPr>
        <w:t>2024年 05 月</w:t>
      </w:r>
    </w:p>
    <w:p>
      <w:pPr>
        <w:pageBreakBefore w:val="0"/>
        <w:kinsoku/>
        <w:overflowPunct/>
        <w:topLinePunct w:val="0"/>
        <w:autoSpaceDE/>
        <w:autoSpaceDN/>
        <w:bidi w:val="0"/>
        <w:adjustRightInd/>
        <w:spacing w:line="360" w:lineRule="auto"/>
        <w:jc w:val="center"/>
        <w:textAlignment w:val="auto"/>
        <w:rPr>
          <w:rFonts w:ascii="仿宋" w:hAnsi="仿宋" w:eastAsia="仿宋" w:cs="仿宋"/>
          <w:b/>
          <w:bCs/>
          <w:sz w:val="28"/>
          <w:szCs w:val="28"/>
        </w:rPr>
      </w:pPr>
    </w:p>
    <w:p>
      <w:pPr>
        <w:pageBreakBefore w:val="0"/>
        <w:kinsoku/>
        <w:overflowPunct/>
        <w:topLinePunct w:val="0"/>
        <w:autoSpaceDE/>
        <w:autoSpaceDN/>
        <w:bidi w:val="0"/>
        <w:adjustRightInd/>
        <w:spacing w:line="520" w:lineRule="exact"/>
        <w:jc w:val="center"/>
        <w:textAlignment w:val="auto"/>
        <w:rPr>
          <w:rFonts w:ascii="仿宋" w:hAnsi="仿宋" w:eastAsia="仿宋" w:cs="仿宋"/>
          <w:b/>
          <w:bCs/>
          <w:sz w:val="28"/>
          <w:szCs w:val="28"/>
        </w:rPr>
        <w:sectPr>
          <w:footerReference r:id="rId3" w:type="default"/>
          <w:pgSz w:w="11906" w:h="16838"/>
          <w:pgMar w:top="1440" w:right="1800" w:bottom="1440" w:left="1800" w:header="851" w:footer="992" w:gutter="0"/>
          <w:pgNumType w:start="0"/>
          <w:cols w:space="425" w:num="1"/>
          <w:docGrid w:type="lines" w:linePitch="312" w:charSpace="0"/>
        </w:sectPr>
      </w:pPr>
    </w:p>
    <w:p>
      <w:pPr>
        <w:pageBreakBefore w:val="0"/>
        <w:kinsoku/>
        <w:overflowPunct/>
        <w:topLinePunct w:val="0"/>
        <w:autoSpaceDE/>
        <w:autoSpaceDN/>
        <w:bidi w:val="0"/>
        <w:adjustRightInd/>
        <w:spacing w:line="520" w:lineRule="exact"/>
        <w:jc w:val="center"/>
        <w:textAlignment w:val="auto"/>
        <w:rPr>
          <w:rFonts w:ascii="仿宋" w:hAnsi="仿宋" w:eastAsia="仿宋" w:cs="仿宋"/>
          <w:b/>
          <w:bCs/>
          <w:sz w:val="28"/>
          <w:szCs w:val="28"/>
        </w:rPr>
      </w:pPr>
      <w:r>
        <w:rPr>
          <w:rFonts w:hint="eastAsia" w:ascii="仿宋" w:hAnsi="仿宋" w:eastAsia="仿宋" w:cs="仿宋"/>
          <w:b/>
          <w:bCs/>
          <w:sz w:val="28"/>
          <w:szCs w:val="28"/>
        </w:rPr>
        <w:t>目 录</w:t>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"1-4" \h \u </w:instrText>
      </w:r>
      <w:r>
        <w:rPr>
          <w:rFonts w:hint="eastAsia" w:ascii="仿宋" w:hAnsi="仿宋" w:eastAsia="仿宋" w:cs="仿宋"/>
          <w:sz w:val="28"/>
          <w:szCs w:val="28"/>
        </w:rPr>
        <w:fldChar w:fldCharType="separate"/>
      </w:r>
      <w:r>
        <w:fldChar w:fldCharType="begin"/>
      </w:r>
      <w:r>
        <w:instrText xml:space="preserve"> HYPERLINK \l "_Toc8586" </w:instrText>
      </w:r>
      <w:r>
        <w:fldChar w:fldCharType="separate"/>
      </w:r>
      <w:r>
        <w:rPr>
          <w:rFonts w:hint="eastAsia" w:ascii="仿宋" w:hAnsi="仿宋" w:eastAsia="仿宋" w:cs="仿宋"/>
          <w:sz w:val="28"/>
          <w:szCs w:val="28"/>
        </w:rPr>
        <w:t>部门整体绩效评价报告</w:t>
      </w:r>
      <w:r>
        <w:rPr>
          <w:rFonts w:hint="eastAsia" w:ascii="仿宋" w:hAnsi="仿宋" w:eastAsia="仿宋" w:cs="仿宋"/>
          <w:sz w:val="28"/>
          <w:szCs w:val="28"/>
        </w:rPr>
        <w:tab/>
      </w:r>
      <w:r>
        <w:rPr>
          <w:rFonts w:hint="eastAsia" w:ascii="仿宋" w:hAnsi="仿宋" w:eastAsia="仿宋" w:cs="仿宋"/>
          <w:sz w:val="28"/>
          <w:szCs w:val="28"/>
          <w:lang w:val="en-US" w:eastAsia="zh-CN"/>
        </w:rPr>
        <w:t>1</w:t>
      </w:r>
      <w:r>
        <w:rPr>
          <w:rFonts w:hint="eastAsia" w:ascii="仿宋" w:hAnsi="仿宋" w:eastAsia="仿宋" w:cs="仿宋"/>
          <w:sz w:val="28"/>
          <w:szCs w:val="28"/>
        </w:rPr>
        <w:fldChar w:fldCharType="end"/>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"_Toc22026" </w:instrText>
      </w:r>
      <w:r>
        <w:fldChar w:fldCharType="separate"/>
      </w:r>
      <w:r>
        <w:rPr>
          <w:rFonts w:hint="eastAsia" w:ascii="仿宋" w:hAnsi="仿宋" w:eastAsia="仿宋" w:cs="仿宋"/>
          <w:sz w:val="28"/>
          <w:szCs w:val="28"/>
        </w:rPr>
        <w:t>一、部门概况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_Toc22026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"_Toc29968" </w:instrText>
      </w:r>
      <w:r>
        <w:fldChar w:fldCharType="separate"/>
      </w:r>
      <w:r>
        <w:rPr>
          <w:rFonts w:hint="eastAsia" w:ascii="仿宋" w:hAnsi="仿宋" w:eastAsia="仿宋" w:cs="仿宋"/>
          <w:sz w:val="28"/>
          <w:szCs w:val="28"/>
        </w:rPr>
        <w:t>（一）机构设置及职责工作任务情况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_Toc29968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"_Toc11290" </w:instrText>
      </w:r>
      <w:r>
        <w:fldChar w:fldCharType="separate"/>
      </w:r>
      <w:r>
        <w:rPr>
          <w:rFonts w:hint="eastAsia" w:ascii="仿宋" w:hAnsi="仿宋" w:eastAsia="仿宋" w:cs="仿宋"/>
          <w:sz w:val="28"/>
          <w:szCs w:val="28"/>
        </w:rPr>
        <w:t>1.本部门性质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_Toc11290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"_Toc11672" </w:instrText>
      </w:r>
      <w:r>
        <w:fldChar w:fldCharType="separate"/>
      </w:r>
      <w:r>
        <w:rPr>
          <w:rFonts w:hint="eastAsia" w:ascii="仿宋" w:hAnsi="仿宋" w:eastAsia="仿宋" w:cs="仿宋"/>
          <w:sz w:val="28"/>
          <w:szCs w:val="28"/>
        </w:rPr>
        <w:t>2.机构设置情况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_Toc11672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"_Toc19578" </w:instrText>
      </w:r>
      <w:r>
        <w:fldChar w:fldCharType="separate"/>
      </w:r>
      <w:r>
        <w:rPr>
          <w:rFonts w:hint="eastAsia" w:ascii="仿宋" w:hAnsi="仿宋" w:eastAsia="仿宋" w:cs="仿宋"/>
          <w:sz w:val="28"/>
          <w:szCs w:val="28"/>
        </w:rPr>
        <w:t>3.人员构成情况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_Toc19578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"_Toc49" </w:instrText>
      </w:r>
      <w:r>
        <w:fldChar w:fldCharType="separate"/>
      </w:r>
      <w:r>
        <w:rPr>
          <w:rFonts w:hint="eastAsia" w:ascii="仿宋" w:hAnsi="仿宋" w:eastAsia="仿宋" w:cs="仿宋"/>
          <w:sz w:val="28"/>
          <w:szCs w:val="28"/>
        </w:rPr>
        <w:t>4.主要职责</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_Toc49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"_Toc1190" </w:instrText>
      </w:r>
      <w:r>
        <w:fldChar w:fldCharType="separate"/>
      </w:r>
      <w:r>
        <w:rPr>
          <w:rFonts w:hint="eastAsia" w:ascii="仿宋" w:hAnsi="仿宋" w:eastAsia="仿宋" w:cs="仿宋"/>
          <w:sz w:val="28"/>
          <w:szCs w:val="28"/>
        </w:rPr>
        <w:t>（二）部门整体绩效目标设立情况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_Toc1190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"_Toc26215" </w:instrText>
      </w:r>
      <w:r>
        <w:fldChar w:fldCharType="separate"/>
      </w:r>
      <w:r>
        <w:rPr>
          <w:rFonts w:hint="eastAsia" w:ascii="仿宋" w:hAnsi="仿宋" w:eastAsia="仿宋" w:cs="仿宋"/>
          <w:bCs/>
          <w:sz w:val="28"/>
          <w:szCs w:val="28"/>
        </w:rPr>
        <w:t>1.总体绩效目标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_Toc26215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"_Toc18932" </w:instrText>
      </w:r>
      <w:r>
        <w:fldChar w:fldCharType="separate"/>
      </w:r>
      <w:r>
        <w:rPr>
          <w:rFonts w:hint="eastAsia" w:ascii="仿宋" w:hAnsi="仿宋" w:eastAsia="仿宋" w:cs="仿宋"/>
          <w:bCs/>
          <w:sz w:val="28"/>
          <w:szCs w:val="28"/>
        </w:rPr>
        <w:t>2.具体绩效指标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_Toc18932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"_Toc16973" </w:instrText>
      </w:r>
      <w:r>
        <w:fldChar w:fldCharType="separate"/>
      </w:r>
      <w:r>
        <w:rPr>
          <w:rFonts w:hint="eastAsia" w:ascii="仿宋" w:hAnsi="仿宋" w:eastAsia="仿宋" w:cs="仿宋"/>
          <w:sz w:val="28"/>
          <w:szCs w:val="28"/>
        </w:rPr>
        <w:t>二、当年预算执行情况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_Toc16973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"_Toc30712" </w:instrText>
      </w:r>
      <w:r>
        <w:fldChar w:fldCharType="separate"/>
      </w:r>
      <w:r>
        <w:rPr>
          <w:rFonts w:hint="eastAsia" w:ascii="仿宋" w:hAnsi="仿宋" w:eastAsia="仿宋" w:cs="仿宋"/>
          <w:sz w:val="28"/>
          <w:szCs w:val="28"/>
        </w:rPr>
        <w:t>三、整体绩效目标实现情况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_Toc30712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"_Toc9158" </w:instrText>
      </w:r>
      <w:r>
        <w:fldChar w:fldCharType="separate"/>
      </w:r>
      <w:r>
        <w:rPr>
          <w:rFonts w:hint="eastAsia" w:ascii="仿宋" w:hAnsi="仿宋" w:eastAsia="仿宋" w:cs="仿宋"/>
          <w:sz w:val="28"/>
          <w:szCs w:val="28"/>
        </w:rPr>
        <w:t>（一）产出完成情况分析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_Toc9158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"_Toc32540" </w:instrText>
      </w:r>
      <w:r>
        <w:fldChar w:fldCharType="separate"/>
      </w:r>
      <w:r>
        <w:rPr>
          <w:rFonts w:hint="eastAsia" w:ascii="仿宋" w:hAnsi="仿宋" w:eastAsia="仿宋" w:cs="仿宋"/>
          <w:sz w:val="28"/>
          <w:szCs w:val="28"/>
        </w:rPr>
        <w:t>1.产出数量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_Toc32540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"_Toc16712" </w:instrText>
      </w:r>
      <w:r>
        <w:fldChar w:fldCharType="separate"/>
      </w:r>
      <w:r>
        <w:rPr>
          <w:rFonts w:hint="eastAsia" w:ascii="仿宋" w:hAnsi="仿宋" w:eastAsia="仿宋" w:cs="仿宋"/>
          <w:sz w:val="28"/>
          <w:szCs w:val="28"/>
        </w:rPr>
        <w:t>2.产出质量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_Toc16712 \h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"_Toc27888" </w:instrText>
      </w:r>
      <w:r>
        <w:fldChar w:fldCharType="separate"/>
      </w:r>
      <w:r>
        <w:rPr>
          <w:rFonts w:hint="eastAsia" w:ascii="仿宋" w:hAnsi="仿宋" w:eastAsia="仿宋" w:cs="仿宋"/>
          <w:sz w:val="28"/>
          <w:szCs w:val="28"/>
        </w:rPr>
        <w:t>3.产出进度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_Toc27888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"_Toc1889" </w:instrText>
      </w:r>
      <w:r>
        <w:fldChar w:fldCharType="separate"/>
      </w:r>
      <w:r>
        <w:rPr>
          <w:rFonts w:hint="eastAsia" w:ascii="仿宋" w:hAnsi="仿宋" w:eastAsia="仿宋" w:cs="仿宋"/>
          <w:sz w:val="28"/>
          <w:szCs w:val="28"/>
        </w:rPr>
        <w:t>4.产出成本</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_Toc1889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"_Toc17405" </w:instrText>
      </w:r>
      <w:r>
        <w:fldChar w:fldCharType="separate"/>
      </w:r>
      <w:r>
        <w:rPr>
          <w:rFonts w:hint="eastAsia" w:ascii="仿宋" w:hAnsi="仿宋" w:eastAsia="仿宋" w:cs="仿宋"/>
          <w:sz w:val="28"/>
          <w:szCs w:val="28"/>
        </w:rPr>
        <w:t>（二）效果实现情况分析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_Toc17405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"_Toc32206" </w:instrText>
      </w:r>
      <w:r>
        <w:fldChar w:fldCharType="separate"/>
      </w:r>
      <w:r>
        <w:rPr>
          <w:rFonts w:hint="eastAsia" w:ascii="仿宋" w:hAnsi="仿宋" w:eastAsia="仿宋" w:cs="仿宋"/>
          <w:sz w:val="28"/>
          <w:szCs w:val="28"/>
        </w:rPr>
        <w:t>1.社会效益</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_Toc32206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"_Toc1820" </w:instrText>
      </w:r>
      <w:r>
        <w:fldChar w:fldCharType="separate"/>
      </w:r>
      <w:r>
        <w:rPr>
          <w:rFonts w:hint="eastAsia" w:ascii="仿宋" w:hAnsi="仿宋" w:eastAsia="仿宋" w:cs="仿宋"/>
          <w:sz w:val="28"/>
          <w:szCs w:val="28"/>
        </w:rPr>
        <w:t>2.可持续性影响</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_Toc1820 \h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"_Toc30181" </w:instrText>
      </w:r>
      <w:r>
        <w:fldChar w:fldCharType="separate"/>
      </w:r>
      <w:r>
        <w:rPr>
          <w:rFonts w:hint="eastAsia" w:ascii="仿宋" w:hAnsi="仿宋" w:eastAsia="仿宋" w:cs="仿宋"/>
          <w:sz w:val="28"/>
          <w:szCs w:val="28"/>
        </w:rPr>
        <w:t>3.服务对象满意度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_Toc30181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"_Toc15521" </w:instrText>
      </w:r>
      <w:r>
        <w:fldChar w:fldCharType="separate"/>
      </w:r>
      <w:r>
        <w:rPr>
          <w:rFonts w:hint="eastAsia" w:ascii="仿宋" w:hAnsi="仿宋" w:eastAsia="仿宋" w:cs="仿宋"/>
          <w:sz w:val="28"/>
          <w:szCs w:val="28"/>
        </w:rPr>
        <w:t>四、预算管理情况分析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_Toc15521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"_Toc21911" </w:instrText>
      </w:r>
      <w:r>
        <w:fldChar w:fldCharType="separate"/>
      </w:r>
      <w:r>
        <w:rPr>
          <w:rFonts w:hint="eastAsia" w:ascii="仿宋" w:hAnsi="仿宋" w:eastAsia="仿宋" w:cs="仿宋"/>
          <w:sz w:val="28"/>
          <w:szCs w:val="28"/>
        </w:rPr>
        <w:t>（一）财务管理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_Toc21911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"_Toc4068" </w:instrText>
      </w:r>
      <w:r>
        <w:fldChar w:fldCharType="separate"/>
      </w:r>
      <w:r>
        <w:rPr>
          <w:rFonts w:hint="eastAsia" w:ascii="仿宋" w:hAnsi="仿宋" w:eastAsia="仿宋" w:cs="仿宋"/>
          <w:sz w:val="28"/>
          <w:szCs w:val="28"/>
        </w:rPr>
        <w:t>1.财务管理制度健全性</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_Toc4068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"_Toc11108" </w:instrText>
      </w:r>
      <w:r>
        <w:fldChar w:fldCharType="separate"/>
      </w:r>
      <w:r>
        <w:rPr>
          <w:rFonts w:hint="eastAsia" w:ascii="仿宋" w:hAnsi="仿宋" w:eastAsia="仿宋" w:cs="仿宋"/>
          <w:sz w:val="28"/>
          <w:szCs w:val="28"/>
        </w:rPr>
        <w:t>2.资金使用合规性和安全性</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_Toc11108 \h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"_Toc11231" </w:instrText>
      </w:r>
      <w:r>
        <w:fldChar w:fldCharType="separate"/>
      </w:r>
      <w:r>
        <w:rPr>
          <w:rFonts w:hint="eastAsia" w:ascii="仿宋" w:hAnsi="仿宋" w:eastAsia="仿宋" w:cs="仿宋"/>
          <w:sz w:val="28"/>
          <w:szCs w:val="28"/>
        </w:rPr>
        <w:t>3.会计基础信息完善性</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_Toc11231 \h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"_Toc23273" </w:instrText>
      </w:r>
      <w:r>
        <w:fldChar w:fldCharType="separate"/>
      </w:r>
      <w:r>
        <w:rPr>
          <w:rFonts w:hint="eastAsia" w:ascii="仿宋" w:hAnsi="仿宋" w:eastAsia="仿宋" w:cs="仿宋"/>
          <w:sz w:val="28"/>
          <w:szCs w:val="28"/>
        </w:rPr>
        <w:t>（二）资产管理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_Toc23273 \h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"_Toc4" </w:instrText>
      </w:r>
      <w:r>
        <w:fldChar w:fldCharType="separate"/>
      </w:r>
      <w:r>
        <w:rPr>
          <w:rFonts w:hint="eastAsia" w:ascii="仿宋" w:hAnsi="仿宋" w:eastAsia="仿宋" w:cs="仿宋"/>
          <w:sz w:val="28"/>
          <w:szCs w:val="28"/>
        </w:rPr>
        <w:t>（三）绩效管理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"_Toc28410" </w:instrText>
      </w:r>
      <w:r>
        <w:fldChar w:fldCharType="separate"/>
      </w:r>
      <w:r>
        <w:rPr>
          <w:rFonts w:hint="eastAsia" w:ascii="仿宋" w:hAnsi="仿宋" w:eastAsia="仿宋" w:cs="仿宋"/>
          <w:sz w:val="28"/>
          <w:szCs w:val="28"/>
        </w:rPr>
        <w:t>（四）结转结余率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_Toc28410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"_Toc26741" </w:instrText>
      </w:r>
      <w:r>
        <w:fldChar w:fldCharType="separate"/>
      </w:r>
      <w:r>
        <w:rPr>
          <w:rFonts w:hint="eastAsia" w:ascii="仿宋" w:hAnsi="仿宋" w:eastAsia="仿宋" w:cs="仿宋"/>
          <w:sz w:val="28"/>
          <w:szCs w:val="28"/>
        </w:rPr>
        <w:t>（五）部门预决算差异率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_Toc26741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"_Toc17759" </w:instrText>
      </w:r>
      <w:r>
        <w:fldChar w:fldCharType="separate"/>
      </w:r>
      <w:r>
        <w:rPr>
          <w:rFonts w:hint="eastAsia" w:ascii="仿宋" w:hAnsi="仿宋" w:eastAsia="仿宋" w:cs="仿宋"/>
          <w:sz w:val="28"/>
          <w:szCs w:val="28"/>
        </w:rPr>
        <w:t>五、总体评价结论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_Toc17759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"_Toc15680" </w:instrText>
      </w:r>
      <w:r>
        <w:fldChar w:fldCharType="separate"/>
      </w:r>
      <w:r>
        <w:rPr>
          <w:rFonts w:hint="eastAsia" w:ascii="仿宋" w:hAnsi="仿宋" w:eastAsia="仿宋" w:cs="仿宋"/>
          <w:sz w:val="28"/>
          <w:szCs w:val="28"/>
        </w:rPr>
        <w:t>（一）评价得分情况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_Toc15680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"_Toc10673" </w:instrText>
      </w:r>
      <w:r>
        <w:fldChar w:fldCharType="separate"/>
      </w:r>
      <w:r>
        <w:rPr>
          <w:rFonts w:hint="eastAsia" w:ascii="仿宋" w:hAnsi="仿宋" w:eastAsia="仿宋" w:cs="仿宋"/>
          <w:sz w:val="28"/>
          <w:szCs w:val="28"/>
        </w:rPr>
        <w:t>（二）存在的问题及原因分析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_Toc10673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4"/>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"_Toc10327" </w:instrText>
      </w:r>
      <w:r>
        <w:fldChar w:fldCharType="separate"/>
      </w:r>
      <w:r>
        <w:rPr>
          <w:rFonts w:hint="eastAsia" w:ascii="仿宋" w:hAnsi="仿宋" w:eastAsia="仿宋" w:cs="仿宋"/>
          <w:sz w:val="28"/>
          <w:szCs w:val="28"/>
        </w:rPr>
        <w:t>六、措施建议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_Toc10327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rPr>
          <w:rFonts w:ascii="仿宋" w:hAnsi="仿宋" w:eastAsia="仿宋" w:cs="仿宋"/>
          <w:sz w:val="28"/>
          <w:szCs w:val="28"/>
        </w:rPr>
      </w:pPr>
      <w:r>
        <w:fldChar w:fldCharType="begin"/>
      </w:r>
      <w:r>
        <w:instrText xml:space="preserve"> HYPERLINK \l "_Toc24554" </w:instrText>
      </w:r>
      <w:r>
        <w:fldChar w:fldCharType="separate"/>
      </w:r>
      <w:r>
        <w:rPr>
          <w:rFonts w:hint="eastAsia" w:ascii="仿宋" w:hAnsi="仿宋" w:eastAsia="仿宋" w:cs="仿宋"/>
          <w:bCs/>
          <w:spacing w:val="23"/>
          <w:sz w:val="28"/>
          <w:szCs w:val="28"/>
        </w:rPr>
        <w:t>（一）整改措施</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_Toc24554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pageBreakBefore w:val="0"/>
        <w:tabs>
          <w:tab w:val="right" w:leader="dot" w:pos="8306"/>
        </w:tabs>
        <w:kinsoku/>
        <w:overflowPunct/>
        <w:topLinePunct w:val="0"/>
        <w:autoSpaceDE/>
        <w:autoSpaceDN/>
        <w:bidi w:val="0"/>
        <w:adjustRightInd/>
        <w:spacing w:line="520" w:lineRule="exact"/>
        <w:textAlignment w:val="auto"/>
      </w:pPr>
      <w:r>
        <w:fldChar w:fldCharType="begin"/>
      </w:r>
      <w:r>
        <w:instrText xml:space="preserve"> HYPERLINK \l "_Toc24658" </w:instrText>
      </w:r>
      <w:r>
        <w:fldChar w:fldCharType="separate"/>
      </w:r>
      <w:r>
        <w:rPr>
          <w:rFonts w:hint="eastAsia" w:ascii="仿宋" w:hAnsi="仿宋" w:eastAsia="仿宋" w:cs="仿宋"/>
          <w:bCs/>
          <w:kern w:val="0"/>
          <w:sz w:val="28"/>
          <w:szCs w:val="28"/>
        </w:rPr>
        <w:t>（二）下一步工作举措</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_Toc24658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ageBreakBefore w:val="0"/>
        <w:kinsoku/>
        <w:overflowPunct/>
        <w:topLinePunct w:val="0"/>
        <w:autoSpaceDE/>
        <w:autoSpaceDN/>
        <w:bidi w:val="0"/>
        <w:adjustRightInd/>
        <w:spacing w:line="520" w:lineRule="exact"/>
        <w:ind w:firstLine="420" w:firstLineChars="200"/>
        <w:textAlignment w:val="auto"/>
        <w:rPr>
          <w:rFonts w:ascii="仿宋" w:hAnsi="仿宋" w:eastAsia="仿宋" w:cs="仿宋"/>
          <w:sz w:val="28"/>
          <w:szCs w:val="28"/>
        </w:rPr>
      </w:pPr>
      <w:r>
        <w:rPr>
          <w:rFonts w:hint="eastAsia" w:ascii="仿宋" w:hAnsi="仿宋" w:eastAsia="仿宋" w:cs="仿宋"/>
          <w:szCs w:val="28"/>
        </w:rPr>
        <w:fldChar w:fldCharType="end"/>
      </w:r>
    </w:p>
    <w:p>
      <w:pPr>
        <w:pageBreakBefore w:val="0"/>
        <w:kinsoku/>
        <w:overflowPunct/>
        <w:topLinePunct w:val="0"/>
        <w:autoSpaceDE/>
        <w:autoSpaceDN/>
        <w:bidi w:val="0"/>
        <w:adjustRightInd/>
        <w:spacing w:line="520" w:lineRule="exact"/>
        <w:jc w:val="center"/>
        <w:textAlignment w:val="auto"/>
        <w:rPr>
          <w:rFonts w:ascii="仿宋" w:hAnsi="仿宋" w:eastAsia="仿宋" w:cs="仿宋"/>
          <w:sz w:val="28"/>
          <w:szCs w:val="28"/>
        </w:rPr>
      </w:pPr>
    </w:p>
    <w:p>
      <w:pPr>
        <w:pageBreakBefore w:val="0"/>
        <w:kinsoku/>
        <w:overflowPunct/>
        <w:topLinePunct w:val="0"/>
        <w:autoSpaceDE/>
        <w:autoSpaceDN/>
        <w:bidi w:val="0"/>
        <w:adjustRightInd/>
        <w:spacing w:line="520" w:lineRule="exact"/>
        <w:jc w:val="center"/>
        <w:textAlignment w:val="auto"/>
        <w:rPr>
          <w:rFonts w:ascii="仿宋" w:hAnsi="仿宋" w:eastAsia="仿宋" w:cs="仿宋"/>
          <w:sz w:val="28"/>
          <w:szCs w:val="28"/>
        </w:rPr>
      </w:pPr>
    </w:p>
    <w:p>
      <w:pPr>
        <w:pStyle w:val="8"/>
        <w:pageBreakBefore w:val="0"/>
        <w:kinsoku/>
        <w:overflowPunct/>
        <w:topLinePunct w:val="0"/>
        <w:autoSpaceDE/>
        <w:autoSpaceDN/>
        <w:bidi w:val="0"/>
        <w:adjustRightInd/>
        <w:spacing w:line="520" w:lineRule="exact"/>
        <w:textAlignment w:val="auto"/>
      </w:pPr>
    </w:p>
    <w:p>
      <w:pPr>
        <w:pStyle w:val="8"/>
        <w:pageBreakBefore w:val="0"/>
        <w:kinsoku/>
        <w:overflowPunct/>
        <w:topLinePunct w:val="0"/>
        <w:autoSpaceDE/>
        <w:autoSpaceDN/>
        <w:bidi w:val="0"/>
        <w:adjustRightInd/>
        <w:spacing w:line="520" w:lineRule="exact"/>
        <w:textAlignment w:val="auto"/>
      </w:pPr>
    </w:p>
    <w:p>
      <w:pPr>
        <w:pStyle w:val="8"/>
        <w:pageBreakBefore w:val="0"/>
        <w:kinsoku/>
        <w:overflowPunct/>
        <w:topLinePunct w:val="0"/>
        <w:autoSpaceDE/>
        <w:autoSpaceDN/>
        <w:bidi w:val="0"/>
        <w:adjustRightInd/>
        <w:spacing w:line="520" w:lineRule="exact"/>
        <w:textAlignment w:val="auto"/>
        <w:sectPr>
          <w:footerReference r:id="rId4" w:type="default"/>
          <w:pgSz w:w="11906" w:h="16838"/>
          <w:pgMar w:top="1440" w:right="1800" w:bottom="1440" w:left="1800" w:header="851" w:footer="992" w:gutter="0"/>
          <w:pgNumType w:start="1"/>
          <w:cols w:space="425" w:num="1"/>
          <w:docGrid w:type="lines" w:linePitch="312" w:charSpace="0"/>
        </w:sectPr>
      </w:pPr>
    </w:p>
    <w:p>
      <w:pPr>
        <w:pStyle w:val="2"/>
        <w:pageBreakBefore w:val="0"/>
        <w:kinsoku/>
        <w:overflowPunct/>
        <w:topLinePunct w:val="0"/>
        <w:autoSpaceDE/>
        <w:autoSpaceDN/>
        <w:bidi w:val="0"/>
        <w:adjustRightInd/>
        <w:snapToGrid/>
        <w:spacing w:line="540" w:lineRule="exact"/>
        <w:ind w:firstLine="640"/>
        <w:textAlignment w:val="auto"/>
      </w:pPr>
      <w:bookmarkStart w:id="0" w:name="_Toc103693059"/>
      <w:bookmarkStart w:id="1" w:name="_Toc26425"/>
      <w:bookmarkStart w:id="2" w:name="_Toc22026"/>
      <w:bookmarkStart w:id="3" w:name="_Toc10305"/>
      <w:bookmarkStart w:id="4" w:name="_Toc25418"/>
      <w:r>
        <w:rPr>
          <w:rFonts w:hint="eastAsia"/>
        </w:rPr>
        <w:t>一、部门概况</w:t>
      </w:r>
      <w:bookmarkEnd w:id="0"/>
      <w:bookmarkEnd w:id="1"/>
      <w:bookmarkEnd w:id="2"/>
      <w:bookmarkEnd w:id="3"/>
      <w:bookmarkEnd w:id="4"/>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5" w:name="_Toc9439"/>
      <w:bookmarkStart w:id="6" w:name="_Toc19815"/>
      <w:bookmarkStart w:id="7" w:name="_Toc103693060"/>
      <w:bookmarkStart w:id="8" w:name="_Toc29968"/>
      <w:r>
        <w:rPr>
          <w:rFonts w:hint="eastAsia" w:ascii="仿宋" w:hAnsi="仿宋" w:eastAsia="仿宋" w:cs="仿宋"/>
        </w:rPr>
        <w:t>（一）机构设置及职责工作任务情况</w:t>
      </w:r>
      <w:bookmarkEnd w:id="5"/>
      <w:bookmarkEnd w:id="6"/>
      <w:bookmarkEnd w:id="7"/>
      <w:bookmarkEnd w:id="8"/>
    </w:p>
    <w:p>
      <w:pPr>
        <w:pStyle w:val="4"/>
        <w:pageBreakBefore w:val="0"/>
        <w:widowControl w:val="0"/>
        <w:kinsoku/>
        <w:wordWrap/>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9" w:name="_Toc103693061"/>
      <w:bookmarkStart w:id="10" w:name="_Toc27844"/>
      <w:bookmarkStart w:id="11" w:name="_Toc6419"/>
      <w:bookmarkStart w:id="12" w:name="_Toc25344"/>
      <w:bookmarkStart w:id="13" w:name="_Toc11290"/>
      <w:r>
        <w:rPr>
          <w:rFonts w:hint="eastAsia" w:ascii="仿宋" w:hAnsi="仿宋" w:eastAsia="仿宋" w:cs="仿宋"/>
        </w:rPr>
        <w:t>1.本部门</w:t>
      </w:r>
      <w:bookmarkEnd w:id="9"/>
      <w:bookmarkEnd w:id="10"/>
      <w:bookmarkEnd w:id="11"/>
      <w:bookmarkEnd w:id="12"/>
      <w:r>
        <w:rPr>
          <w:rFonts w:hint="eastAsia" w:ascii="仿宋" w:hAnsi="仿宋" w:eastAsia="仿宋" w:cs="仿宋"/>
        </w:rPr>
        <w:t>性质</w:t>
      </w:r>
      <w:bookmarkEnd w:id="13"/>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北京市社会科学院（简称“市社科院”）是综合性哲学社会科学研究机构，是市政府直属公益一类事业单位，归口市委宣传部领导,机构规格为正局级,加挂中共北京市委干部理论教育讲师团牌子。</w:t>
      </w:r>
    </w:p>
    <w:p>
      <w:pPr>
        <w:pStyle w:val="4"/>
        <w:pageBreakBefore w:val="0"/>
        <w:widowControl w:val="0"/>
        <w:kinsoku/>
        <w:wordWrap/>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14" w:name="_Toc11672"/>
      <w:bookmarkStart w:id="15" w:name="_Toc5167"/>
      <w:bookmarkStart w:id="16" w:name="_Toc20209"/>
      <w:bookmarkStart w:id="17" w:name="_Toc7145"/>
      <w:bookmarkStart w:id="18" w:name="_Toc103693062"/>
      <w:r>
        <w:rPr>
          <w:rFonts w:hint="eastAsia" w:ascii="仿宋" w:hAnsi="仿宋" w:eastAsia="仿宋" w:cs="仿宋"/>
        </w:rPr>
        <w:t>2.机构设置情况</w:t>
      </w:r>
      <w:bookmarkEnd w:id="14"/>
    </w:p>
    <w:p>
      <w:pPr>
        <w:pageBreakBefore w:val="0"/>
        <w:widowControl w:val="0"/>
        <w:kinsoku/>
        <w:wordWrap/>
        <w:overflowPunct/>
        <w:topLinePunct w:val="0"/>
        <w:autoSpaceDE/>
        <w:autoSpaceDN/>
        <w:bidi w:val="0"/>
        <w:adjustRightInd/>
        <w:snapToGrid/>
        <w:spacing w:line="540" w:lineRule="exact"/>
        <w:ind w:firstLine="555"/>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根据中共北京市委办公厅北京市人民政府办公厅关于印发《北京市社会科学院机构职能编制规定》的通知京办字〔2021〕12号，市社科院设置33个内设机构。分别是：办公室、科研组织处、智库建设与管理处、文化研究所、历史研究所、哲学研究所、经济研究所、马克思主义研究所、社会学研究所、社会学研究所、城市问题研究所、国际问题研究所、满学研究所、管理研究所、综合治理研究所、法治研究所、市情研究所、传媒与舆情研究所、史志学研究所、理论宣讲处、百姓宣讲处、网络宣传处、宣讲服务处、《北京社会科学》编辑部、《城市问题》编辑部、网络与图书信息中心、国际交流中心（外事办公室）、人事处、财务处、行政处、机关党委（党建工作处）、机关纪委、机关工会、离退休干部处。</w:t>
      </w:r>
    </w:p>
    <w:p>
      <w:pPr>
        <w:pStyle w:val="4"/>
        <w:pageBreakBefore w:val="0"/>
        <w:widowControl w:val="0"/>
        <w:kinsoku/>
        <w:wordWrap/>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19" w:name="_Toc103693063"/>
      <w:bookmarkStart w:id="20" w:name="_Toc19283"/>
      <w:bookmarkStart w:id="21" w:name="_Toc19578"/>
      <w:bookmarkStart w:id="22" w:name="_Toc23620"/>
      <w:bookmarkStart w:id="23" w:name="_Toc21748"/>
      <w:r>
        <w:rPr>
          <w:rFonts w:hint="eastAsia" w:ascii="仿宋" w:hAnsi="仿宋" w:eastAsia="仿宋" w:cs="仿宋"/>
        </w:rPr>
        <w:t>3.人员构成情况</w:t>
      </w:r>
      <w:bookmarkEnd w:id="19"/>
      <w:bookmarkEnd w:id="20"/>
      <w:bookmarkEnd w:id="21"/>
      <w:bookmarkEnd w:id="22"/>
      <w:bookmarkEnd w:id="23"/>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rPr>
        <w:t>市社科院财政补助事业编制为340名。截止2023年12月31日，事业人员实有人数284人，离退休</w:t>
      </w:r>
      <w:r>
        <w:rPr>
          <w:rFonts w:hint="eastAsia" w:ascii="仿宋" w:hAnsi="仿宋" w:eastAsia="仿宋" w:cs="仿宋"/>
          <w:color w:val="auto"/>
          <w:spacing w:val="23"/>
          <w:kern w:val="2"/>
          <w:sz w:val="28"/>
          <w:szCs w:val="28"/>
          <w:lang w:val="en-US" w:eastAsia="zh-CN" w:bidi="ar-SA"/>
        </w:rPr>
        <w:t>人员223人（其中：退休人员220人，离休人员3人）。</w:t>
      </w:r>
    </w:p>
    <w:bookmarkEnd w:id="15"/>
    <w:bookmarkEnd w:id="16"/>
    <w:bookmarkEnd w:id="17"/>
    <w:bookmarkEnd w:id="18"/>
    <w:p>
      <w:pPr>
        <w:pStyle w:val="4"/>
        <w:pageBreakBefore w:val="0"/>
        <w:widowControl w:val="0"/>
        <w:kinsoku/>
        <w:wordWrap/>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24" w:name="_Toc15352"/>
      <w:bookmarkStart w:id="25" w:name="_Toc4100"/>
      <w:bookmarkStart w:id="26" w:name="_Toc4430"/>
      <w:bookmarkStart w:id="27" w:name="_Toc103693064"/>
      <w:bookmarkStart w:id="28" w:name="_Toc49"/>
      <w:r>
        <w:rPr>
          <w:rFonts w:hint="eastAsia" w:ascii="仿宋" w:hAnsi="仿宋" w:eastAsia="仿宋" w:cs="仿宋"/>
        </w:rPr>
        <w:t>4.主要职责</w:t>
      </w:r>
      <w:bookmarkEnd w:id="24"/>
      <w:bookmarkEnd w:id="25"/>
      <w:bookmarkEnd w:id="26"/>
      <w:bookmarkEnd w:id="27"/>
      <w:bookmarkEnd w:id="28"/>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（1）开展哲学社会科学基础研究、战略研究、应用对策研究为市委、市政府提供决策咨询服务；</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（2）开展党的创新理论研究、宣传、阐释工作；</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（3）组织开展党的理论宣讲工作；</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（4）建设新型高端智库,搭建智库研究基地平台体系；</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（5）开展国际交流与合作，提升国际学术影响力；</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pacing w:val="21"/>
        </w:rPr>
      </w:pPr>
      <w:r>
        <w:rPr>
          <w:rFonts w:hint="eastAsia" w:ascii="仿宋" w:hAnsi="仿宋" w:eastAsia="仿宋" w:cs="仿宋"/>
          <w:color w:val="auto"/>
        </w:rPr>
        <w:t>（6）完成市委、市政府交办的其他任务。</w:t>
      </w:r>
    </w:p>
    <w:p>
      <w:pPr>
        <w:pStyle w:val="3"/>
        <w:pageBreakBefore w:val="0"/>
        <w:widowControl w:val="0"/>
        <w:kinsoku/>
        <w:wordWrap/>
        <w:overflowPunct/>
        <w:topLinePunct w:val="0"/>
        <w:autoSpaceDE/>
        <w:autoSpaceDN/>
        <w:bidi w:val="0"/>
        <w:adjustRightInd/>
        <w:snapToGrid/>
        <w:spacing w:before="101" w:line="540" w:lineRule="exact"/>
        <w:ind w:right="11" w:firstLine="643"/>
        <w:textAlignment w:val="auto"/>
        <w:rPr>
          <w:rFonts w:hint="eastAsia" w:ascii="仿宋" w:hAnsi="仿宋" w:eastAsia="仿宋" w:cs="仿宋"/>
          <w:spacing w:val="21"/>
          <w:sz w:val="28"/>
          <w:szCs w:val="28"/>
        </w:rPr>
      </w:pPr>
      <w:bookmarkStart w:id="29" w:name="_Toc24016"/>
      <w:bookmarkStart w:id="30" w:name="_Toc1190"/>
      <w:bookmarkStart w:id="31" w:name="_Toc1368"/>
      <w:bookmarkStart w:id="32" w:name="_Toc103693065"/>
      <w:r>
        <w:rPr>
          <w:rFonts w:hint="eastAsia" w:ascii="仿宋" w:hAnsi="仿宋" w:eastAsia="仿宋" w:cs="仿宋"/>
        </w:rPr>
        <w:t>（二）部门整体绩效目标设立情况</w:t>
      </w:r>
      <w:bookmarkEnd w:id="29"/>
      <w:bookmarkEnd w:id="30"/>
      <w:bookmarkEnd w:id="31"/>
      <w:bookmarkEnd w:id="32"/>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bookmarkStart w:id="33" w:name="_Toc26215"/>
      <w:r>
        <w:rPr>
          <w:rFonts w:hint="eastAsia" w:ascii="仿宋" w:hAnsi="仿宋" w:eastAsia="仿宋" w:cs="仿宋"/>
          <w:color w:val="auto"/>
        </w:rPr>
        <w:t>1.总体绩效目标</w:t>
      </w:r>
      <w:bookmarkEnd w:id="33"/>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在市委市政府的坚强领导下，在市委宣传部的精心指导下，市社科院秉承“决策智囊、学术高地、宣讲平台、社会智库”办院定位</w:t>
      </w:r>
      <w:r>
        <w:rPr>
          <w:rFonts w:hint="eastAsia" w:cs="仿宋"/>
          <w:color w:val="auto"/>
          <w:lang w:eastAsia="zh-CN"/>
        </w:rPr>
        <w:t>，</w:t>
      </w:r>
      <w:r>
        <w:rPr>
          <w:rFonts w:hint="eastAsia" w:ascii="仿宋" w:hAnsi="仿宋" w:eastAsia="仿宋" w:cs="仿宋"/>
          <w:color w:val="auto"/>
        </w:rPr>
        <w:t>不断加强组织领导</w:t>
      </w:r>
      <w:r>
        <w:rPr>
          <w:rFonts w:hint="eastAsia" w:cs="仿宋"/>
          <w:color w:val="auto"/>
          <w:lang w:eastAsia="zh-CN"/>
        </w:rPr>
        <w:t>、</w:t>
      </w:r>
      <w:r>
        <w:rPr>
          <w:rFonts w:hint="eastAsia" w:ascii="仿宋" w:hAnsi="仿宋" w:eastAsia="仿宋" w:cs="仿宋"/>
          <w:color w:val="auto"/>
        </w:rPr>
        <w:t>明确职能定位</w:t>
      </w:r>
      <w:r>
        <w:rPr>
          <w:rFonts w:hint="eastAsia" w:cs="仿宋"/>
          <w:color w:val="auto"/>
          <w:lang w:eastAsia="zh-CN"/>
        </w:rPr>
        <w:t>、</w:t>
      </w:r>
      <w:r>
        <w:rPr>
          <w:rFonts w:hint="eastAsia" w:ascii="仿宋" w:hAnsi="仿宋" w:eastAsia="仿宋" w:cs="仿宋"/>
          <w:color w:val="auto"/>
        </w:rPr>
        <w:t>完善体制机制</w:t>
      </w:r>
      <w:r>
        <w:rPr>
          <w:rFonts w:hint="eastAsia" w:cs="仿宋"/>
          <w:color w:val="auto"/>
          <w:lang w:eastAsia="zh-CN"/>
        </w:rPr>
        <w:t>、</w:t>
      </w:r>
      <w:r>
        <w:rPr>
          <w:rFonts w:hint="eastAsia" w:ascii="仿宋" w:hAnsi="仿宋" w:eastAsia="仿宋" w:cs="仿宋"/>
          <w:color w:val="auto"/>
        </w:rPr>
        <w:t>建强人才队伍，努力建设成为国内一流、国际知名的社科院。</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 xml:space="preserve">一是建设好市委市政府的思想库、智囊团，做到“信得过、用得上、离不开”；二是建设好马克思主义中国化理论阵地，做到“有发展、有创新、有建树”；三是繁荣发展首都哲学社会主阵地，做到“话语权、创造性、表现力”；四是建设好新型智库，做到“立得住、叫得响、过得硬”；五是开展哲学社会科学基础研究、战略研究、应用对策研究，为市委市政府提供决策咨询服务；六是开展党的创新理论研究、宣传、阐释工作；七是组织开展党的理论宣讲工作。 </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bookmarkStart w:id="34" w:name="_Toc18932"/>
      <w:r>
        <w:rPr>
          <w:rFonts w:hint="eastAsia" w:ascii="仿宋" w:hAnsi="仿宋" w:eastAsia="仿宋" w:cs="仿宋"/>
          <w:color w:val="auto"/>
        </w:rPr>
        <w:t>2.具体绩效指标</w:t>
      </w:r>
      <w:bookmarkEnd w:id="34"/>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市社科院2023年共开展了科研类、宣讲类、办刊类和其他</w:t>
      </w:r>
      <w:r>
        <w:rPr>
          <w:rFonts w:hint="eastAsia" w:cs="仿宋"/>
          <w:color w:val="auto"/>
          <w:lang w:eastAsia="zh-CN"/>
        </w:rPr>
        <w:t>保障</w:t>
      </w:r>
      <w:r>
        <w:rPr>
          <w:rFonts w:hint="eastAsia" w:ascii="仿宋" w:hAnsi="仿宋" w:eastAsia="仿宋" w:cs="仿宋"/>
          <w:color w:val="auto"/>
        </w:rPr>
        <w:t>类</w:t>
      </w:r>
      <w:r>
        <w:rPr>
          <w:rFonts w:hint="eastAsia" w:cs="仿宋"/>
          <w:color w:val="auto"/>
          <w:lang w:val="en-US" w:eastAsia="zh-CN"/>
        </w:rPr>
        <w:t>4</w:t>
      </w:r>
      <w:r>
        <w:rPr>
          <w:rFonts w:hint="eastAsia" w:ascii="仿宋" w:hAnsi="仿宋" w:eastAsia="仿宋" w:cs="仿宋"/>
          <w:color w:val="auto"/>
        </w:rPr>
        <w:t>类项目。具体如下：</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cs="仿宋"/>
          <w:color w:val="auto"/>
          <w:lang w:eastAsia="zh-CN"/>
        </w:rPr>
        <w:t>（</w:t>
      </w:r>
      <w:r>
        <w:rPr>
          <w:rFonts w:hint="eastAsia" w:cs="仿宋"/>
          <w:color w:val="auto"/>
          <w:lang w:val="en-US" w:eastAsia="zh-CN"/>
        </w:rPr>
        <w:t>1</w:t>
      </w:r>
      <w:r>
        <w:rPr>
          <w:rFonts w:hint="eastAsia" w:cs="仿宋"/>
          <w:color w:val="auto"/>
          <w:lang w:eastAsia="zh-CN"/>
        </w:rPr>
        <w:t>）</w:t>
      </w:r>
      <w:r>
        <w:rPr>
          <w:rFonts w:hint="eastAsia" w:ascii="仿宋" w:hAnsi="仿宋" w:eastAsia="仿宋" w:cs="仿宋"/>
          <w:color w:val="auto"/>
        </w:rPr>
        <w:t>科研类</w:t>
      </w:r>
      <w:r>
        <w:rPr>
          <w:rFonts w:hint="eastAsia" w:cs="仿宋"/>
          <w:color w:val="auto"/>
          <w:lang w:eastAsia="zh-CN"/>
        </w:rPr>
        <w:t>项目</w:t>
      </w:r>
      <w:r>
        <w:rPr>
          <w:rFonts w:hint="eastAsia" w:ascii="仿宋" w:hAnsi="仿宋" w:eastAsia="仿宋" w:cs="仿宋"/>
          <w:color w:val="auto"/>
        </w:rPr>
        <w:t>包括改革与发展项目、皮书课题、激励课题、社科学科建设与研究基地建设、首都高端智库6+1平台建设项目。通过项目实施，进一步提升整体科研水平和科研成果质量的影响力。</w:t>
      </w:r>
    </w:p>
    <w:p>
      <w:pPr>
        <w:pStyle w:val="8"/>
        <w:pageBreakBefore w:val="0"/>
        <w:widowControl w:val="0"/>
        <w:kinsoku/>
        <w:wordWrap/>
        <w:overflowPunct/>
        <w:topLinePunct w:val="0"/>
        <w:autoSpaceDE/>
        <w:autoSpaceDN/>
        <w:bidi w:val="0"/>
        <w:adjustRightInd/>
        <w:snapToGrid/>
        <w:spacing w:line="540" w:lineRule="exact"/>
        <w:ind w:left="0" w:leftChars="0" w:firstLine="652" w:firstLineChars="200"/>
        <w:textAlignment w:val="auto"/>
        <w:rPr>
          <w:rFonts w:hint="eastAsia" w:ascii="仿宋" w:hAnsi="仿宋" w:eastAsia="仿宋" w:cs="仿宋"/>
          <w:color w:val="auto"/>
        </w:rPr>
      </w:pPr>
      <w:r>
        <w:rPr>
          <w:rFonts w:hint="eastAsia" w:ascii="仿宋" w:hAnsi="仿宋" w:eastAsia="仿宋" w:cs="仿宋"/>
          <w:color w:val="auto"/>
        </w:rPr>
        <w:t>（2）宣讲类</w:t>
      </w:r>
      <w:r>
        <w:rPr>
          <w:rFonts w:hint="eastAsia" w:cs="仿宋"/>
          <w:color w:val="auto"/>
          <w:lang w:eastAsia="zh-CN"/>
        </w:rPr>
        <w:t>项目</w:t>
      </w:r>
      <w:r>
        <w:rPr>
          <w:rFonts w:hint="eastAsia" w:ascii="仿宋" w:hAnsi="仿宋" w:eastAsia="仿宋" w:cs="仿宋"/>
          <w:color w:val="auto"/>
        </w:rPr>
        <w:t>包括宣讲家网站、百姓宣讲活动、理论宣讲报告会。围绕学习贯彻习近平新时代中国特色社会主义思想、全国两会精神等，理论宣讲、百姓宣讲、宣讲家网、《大讲堂》形成宣传合力，满足全市党员干部理论学习需要。</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（3）办刊类</w:t>
      </w:r>
      <w:r>
        <w:rPr>
          <w:rFonts w:hint="eastAsia" w:cs="仿宋"/>
          <w:color w:val="auto"/>
          <w:lang w:eastAsia="zh-CN"/>
        </w:rPr>
        <w:t>项目</w:t>
      </w:r>
      <w:r>
        <w:rPr>
          <w:rFonts w:hint="eastAsia" w:ascii="仿宋" w:hAnsi="仿宋" w:eastAsia="仿宋" w:cs="仿宋"/>
          <w:color w:val="auto"/>
        </w:rPr>
        <w:t>包括</w:t>
      </w:r>
      <w:r>
        <w:rPr>
          <w:rFonts w:hint="eastAsia" w:cs="仿宋"/>
          <w:color w:val="auto"/>
          <w:lang w:eastAsia="zh-CN"/>
        </w:rPr>
        <w:t>：</w:t>
      </w:r>
      <w:r>
        <w:rPr>
          <w:rFonts w:hint="eastAsia" w:ascii="仿宋" w:hAnsi="仿宋" w:eastAsia="仿宋" w:cs="仿宋"/>
          <w:color w:val="auto"/>
        </w:rPr>
        <w:t>《北京社会科学》、《城市问题》期刊，首都智库要报《看一眼》，《北京社科之窗》等。通过刊物的出版，不断提高社科领域的</w:t>
      </w:r>
      <w:r>
        <w:rPr>
          <w:rFonts w:hint="eastAsia" w:cs="仿宋"/>
          <w:color w:val="auto"/>
          <w:lang w:eastAsia="zh-CN"/>
        </w:rPr>
        <w:t>学术</w:t>
      </w:r>
      <w:r>
        <w:rPr>
          <w:rFonts w:hint="eastAsia" w:ascii="仿宋" w:hAnsi="仿宋" w:eastAsia="仿宋" w:cs="仿宋"/>
          <w:color w:val="auto"/>
        </w:rPr>
        <w:t>影响力，为</w:t>
      </w:r>
      <w:r>
        <w:rPr>
          <w:rFonts w:hint="eastAsia" w:cs="仿宋"/>
          <w:color w:val="auto"/>
          <w:lang w:eastAsia="zh-CN"/>
        </w:rPr>
        <w:t>市委市</w:t>
      </w:r>
      <w:r>
        <w:rPr>
          <w:rFonts w:hint="eastAsia" w:ascii="仿宋" w:hAnsi="仿宋" w:eastAsia="仿宋" w:cs="仿宋"/>
          <w:color w:val="auto"/>
        </w:rPr>
        <w:t>政府决策提供有价值的参考依据。</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cs="仿宋"/>
          <w:color w:val="auto"/>
          <w:lang w:eastAsia="zh-CN"/>
        </w:rPr>
        <w:t>（</w:t>
      </w:r>
      <w:r>
        <w:rPr>
          <w:rFonts w:hint="eastAsia" w:cs="仿宋"/>
          <w:color w:val="auto"/>
          <w:lang w:val="en-US" w:eastAsia="zh-CN"/>
        </w:rPr>
        <w:t>4</w:t>
      </w:r>
      <w:r>
        <w:rPr>
          <w:rFonts w:hint="eastAsia" w:cs="仿宋"/>
          <w:color w:val="auto"/>
          <w:lang w:eastAsia="zh-CN"/>
        </w:rPr>
        <w:t>）其他保障</w:t>
      </w:r>
      <w:r>
        <w:rPr>
          <w:rFonts w:hint="eastAsia" w:ascii="仿宋" w:hAnsi="仿宋" w:eastAsia="仿宋" w:cs="仿宋"/>
          <w:color w:val="auto"/>
        </w:rPr>
        <w:t>类</w:t>
      </w:r>
      <w:r>
        <w:rPr>
          <w:rFonts w:hint="eastAsia" w:cs="仿宋"/>
          <w:color w:val="auto"/>
          <w:lang w:eastAsia="zh-CN"/>
        </w:rPr>
        <w:t>项目</w:t>
      </w:r>
      <w:r>
        <w:rPr>
          <w:rFonts w:hint="eastAsia" w:ascii="仿宋" w:hAnsi="仿宋" w:eastAsia="仿宋" w:cs="仿宋"/>
          <w:color w:val="auto"/>
        </w:rPr>
        <w:t>包括：北京市市级政务云租用、信息系统运维类项目</w:t>
      </w:r>
      <w:r>
        <w:rPr>
          <w:rFonts w:hint="eastAsia" w:cs="仿宋"/>
          <w:color w:val="auto"/>
          <w:lang w:eastAsia="zh-CN"/>
        </w:rPr>
        <w:t>、</w:t>
      </w:r>
      <w:r>
        <w:rPr>
          <w:rFonts w:hint="eastAsia" w:ascii="仿宋" w:hAnsi="仿宋" w:eastAsia="仿宋" w:cs="仿宋"/>
          <w:color w:val="auto"/>
        </w:rPr>
        <w:t>社科院办公楼人防修复改造工程项目</w:t>
      </w:r>
      <w:r>
        <w:rPr>
          <w:rFonts w:hint="eastAsia" w:cs="仿宋"/>
          <w:color w:val="auto"/>
          <w:lang w:eastAsia="zh-CN"/>
        </w:rPr>
        <w:t>、</w:t>
      </w:r>
      <w:r>
        <w:rPr>
          <w:rFonts w:hint="eastAsia" w:ascii="仿宋" w:hAnsi="仿宋" w:eastAsia="仿宋" w:cs="仿宋"/>
          <w:color w:val="auto"/>
        </w:rPr>
        <w:t>社科信息化资源购置类与办公设备购置类</w:t>
      </w:r>
      <w:r>
        <w:rPr>
          <w:rFonts w:hint="eastAsia" w:cs="仿宋"/>
          <w:color w:val="auto"/>
          <w:lang w:eastAsia="zh-CN"/>
        </w:rPr>
        <w:t>、</w:t>
      </w:r>
      <w:r>
        <w:rPr>
          <w:rFonts w:hint="eastAsia" w:ascii="仿宋" w:hAnsi="仿宋" w:eastAsia="仿宋" w:cs="仿宋"/>
          <w:color w:val="auto"/>
        </w:rPr>
        <w:t>社科研究成果出版资助经费、社科院评审鉴定结项等工作经费等，通过项目实施，更新老旧</w:t>
      </w:r>
      <w:r>
        <w:rPr>
          <w:rFonts w:hint="eastAsia" w:cs="仿宋"/>
          <w:color w:val="auto"/>
          <w:lang w:eastAsia="zh-CN"/>
        </w:rPr>
        <w:t>办公</w:t>
      </w:r>
      <w:r>
        <w:rPr>
          <w:rFonts w:hint="eastAsia" w:ascii="仿宋" w:hAnsi="仿宋" w:eastAsia="仿宋" w:cs="仿宋"/>
          <w:color w:val="auto"/>
        </w:rPr>
        <w:t>设备，</w:t>
      </w:r>
      <w:r>
        <w:rPr>
          <w:rFonts w:hint="eastAsia" w:cs="仿宋"/>
          <w:color w:val="auto"/>
          <w:lang w:eastAsia="zh-CN"/>
        </w:rPr>
        <w:t>购置哲社科领域专业数据库，完成项目评审、资产清查等工作，</w:t>
      </w:r>
      <w:r>
        <w:rPr>
          <w:rFonts w:hint="eastAsia" w:ascii="仿宋" w:hAnsi="仿宋" w:eastAsia="仿宋" w:cs="仿宋"/>
          <w:color w:val="auto"/>
        </w:rPr>
        <w:t>进一步</w:t>
      </w:r>
      <w:r>
        <w:rPr>
          <w:rFonts w:hint="eastAsia" w:cs="仿宋"/>
          <w:color w:val="auto"/>
          <w:lang w:eastAsia="zh-CN"/>
        </w:rPr>
        <w:t>改</w:t>
      </w:r>
      <w:r>
        <w:rPr>
          <w:rFonts w:hint="eastAsia" w:ascii="仿宋" w:hAnsi="仿宋" w:eastAsia="仿宋" w:cs="仿宋"/>
          <w:color w:val="auto"/>
        </w:rPr>
        <w:t>善社科院基础</w:t>
      </w:r>
      <w:r>
        <w:rPr>
          <w:rFonts w:hint="eastAsia" w:cs="仿宋"/>
          <w:color w:val="auto"/>
          <w:lang w:eastAsia="zh-CN"/>
        </w:rPr>
        <w:t>软硬件条件，</w:t>
      </w:r>
      <w:r>
        <w:rPr>
          <w:rFonts w:hint="eastAsia" w:ascii="仿宋" w:hAnsi="仿宋" w:eastAsia="仿宋" w:cs="仿宋"/>
          <w:color w:val="auto"/>
        </w:rPr>
        <w:t>提</w:t>
      </w:r>
      <w:r>
        <w:rPr>
          <w:rFonts w:hint="eastAsia" w:cs="仿宋"/>
          <w:color w:val="auto"/>
          <w:lang w:eastAsia="zh-CN"/>
        </w:rPr>
        <w:t>升</w:t>
      </w:r>
      <w:r>
        <w:rPr>
          <w:rFonts w:hint="eastAsia" w:ascii="仿宋" w:hAnsi="仿宋" w:eastAsia="仿宋" w:cs="仿宋"/>
          <w:color w:val="auto"/>
        </w:rPr>
        <w:t>办公环境</w:t>
      </w:r>
      <w:r>
        <w:rPr>
          <w:rFonts w:hint="eastAsia" w:cs="仿宋"/>
          <w:color w:val="auto"/>
          <w:lang w:eastAsia="zh-CN"/>
        </w:rPr>
        <w:t>，</w:t>
      </w:r>
      <w:r>
        <w:rPr>
          <w:rFonts w:hint="eastAsia" w:ascii="仿宋" w:hAnsi="仿宋" w:eastAsia="仿宋" w:cs="仿宋"/>
          <w:color w:val="auto"/>
        </w:rPr>
        <w:t>保障</w:t>
      </w:r>
      <w:r>
        <w:rPr>
          <w:rFonts w:hint="eastAsia" w:cs="仿宋"/>
          <w:color w:val="auto"/>
          <w:lang w:eastAsia="zh-CN"/>
        </w:rPr>
        <w:t>全院</w:t>
      </w:r>
      <w:r>
        <w:rPr>
          <w:rFonts w:hint="eastAsia" w:ascii="仿宋" w:hAnsi="仿宋" w:eastAsia="仿宋" w:cs="仿宋"/>
          <w:color w:val="auto"/>
        </w:rPr>
        <w:t>科研和办公顺利开展。</w:t>
      </w:r>
    </w:p>
    <w:p>
      <w:pPr>
        <w:pStyle w:val="8"/>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总体绩效目标设立依据充分且合理，目标与职责任务匹配充分，总体目标和分项目绩效指标较合理。</w:t>
      </w:r>
    </w:p>
    <w:p>
      <w:pPr>
        <w:pStyle w:val="2"/>
        <w:pageBreakBefore w:val="0"/>
        <w:kinsoku/>
        <w:overflowPunct/>
        <w:topLinePunct w:val="0"/>
        <w:autoSpaceDE/>
        <w:autoSpaceDN/>
        <w:bidi w:val="0"/>
        <w:adjustRightInd/>
        <w:snapToGrid/>
        <w:spacing w:line="540" w:lineRule="exact"/>
        <w:ind w:firstLine="640"/>
        <w:textAlignment w:val="auto"/>
      </w:pPr>
      <w:bookmarkStart w:id="35" w:name="_Toc18278"/>
      <w:bookmarkStart w:id="36" w:name="_Toc103693076"/>
      <w:bookmarkStart w:id="37" w:name="_Toc16973"/>
      <w:bookmarkStart w:id="38" w:name="_Toc18983"/>
      <w:bookmarkStart w:id="39" w:name="_Toc16235"/>
      <w:r>
        <w:rPr>
          <w:rFonts w:hint="eastAsia"/>
        </w:rPr>
        <w:t>二、当年预算执行情况</w:t>
      </w:r>
      <w:bookmarkEnd w:id="35"/>
      <w:bookmarkEnd w:id="36"/>
      <w:bookmarkEnd w:id="37"/>
      <w:bookmarkEnd w:id="38"/>
      <w:bookmarkEnd w:id="39"/>
    </w:p>
    <w:p>
      <w:pPr>
        <w:pStyle w:val="8"/>
        <w:pageBreakBefore w:val="0"/>
        <w:kinsoku/>
        <w:overflowPunct/>
        <w:topLinePunct w:val="0"/>
        <w:autoSpaceDE/>
        <w:autoSpaceDN/>
        <w:bidi w:val="0"/>
        <w:adjustRightInd/>
        <w:snapToGrid/>
        <w:spacing w:line="540" w:lineRule="exact"/>
        <w:textAlignment w:val="auto"/>
        <w:rPr>
          <w:rFonts w:hint="eastAsia"/>
          <w:color w:val="auto"/>
        </w:rPr>
      </w:pPr>
      <w:r>
        <w:rPr>
          <w:rFonts w:hint="eastAsia"/>
          <w:color w:val="auto"/>
        </w:rPr>
        <w:t>2023年全年预算数17,622.919347万元，其中一般公共预算拨款15,439万元，事业收入1,200万元，上年结转结余收入983.919347万元。具体包含，基本支出预算数12,132万元，项目支出预算数5,490.919347万元，其他支出预算数0万元。资金总体支出16,829.762879万元，其中，基本支出11,805.839922万元，项目支出5,023.922957万元，其他支出0.00万元，预算执行率为95.50%。</w:t>
      </w:r>
      <w:bookmarkStart w:id="40" w:name="_Toc17768"/>
      <w:bookmarkStart w:id="41" w:name="_Toc30712"/>
      <w:bookmarkStart w:id="42" w:name="_Toc103693077"/>
      <w:bookmarkStart w:id="43" w:name="_Toc26698"/>
      <w:bookmarkStart w:id="44" w:name="_Toc31846"/>
    </w:p>
    <w:p>
      <w:pPr>
        <w:pStyle w:val="2"/>
        <w:pageBreakBefore w:val="0"/>
        <w:kinsoku/>
        <w:overflowPunct/>
        <w:topLinePunct w:val="0"/>
        <w:autoSpaceDE/>
        <w:autoSpaceDN/>
        <w:bidi w:val="0"/>
        <w:adjustRightInd/>
        <w:snapToGrid/>
        <w:spacing w:line="540" w:lineRule="exact"/>
        <w:ind w:firstLine="640"/>
        <w:textAlignment w:val="auto"/>
        <w:rPr>
          <w:rFonts w:hint="eastAsia"/>
        </w:rPr>
      </w:pPr>
      <w:r>
        <w:rPr>
          <w:rFonts w:hint="eastAsia"/>
        </w:rPr>
        <w:t>三、整体绩效目标实现情况</w:t>
      </w:r>
      <w:bookmarkEnd w:id="40"/>
      <w:bookmarkEnd w:id="41"/>
      <w:bookmarkEnd w:id="42"/>
      <w:bookmarkEnd w:id="43"/>
      <w:bookmarkEnd w:id="44"/>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45" w:name="_Toc9158"/>
      <w:bookmarkStart w:id="46" w:name="_Toc103693078"/>
      <w:bookmarkStart w:id="47" w:name="_Toc21852"/>
      <w:bookmarkStart w:id="48" w:name="_Toc5387"/>
      <w:bookmarkStart w:id="49" w:name="_Toc21246"/>
      <w:r>
        <w:rPr>
          <w:rFonts w:hint="eastAsia" w:ascii="仿宋" w:hAnsi="仿宋" w:eastAsia="仿宋" w:cs="仿宋"/>
        </w:rPr>
        <w:t>（一）产出完成情况分析</w:t>
      </w:r>
      <w:bookmarkEnd w:id="45"/>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0" w:name="_Toc32540"/>
      <w:r>
        <w:rPr>
          <w:rFonts w:hint="eastAsia" w:ascii="仿宋" w:hAnsi="仿宋" w:eastAsia="仿宋" w:cs="仿宋"/>
        </w:rPr>
        <w:t>1.产出数量</w:t>
      </w:r>
      <w:bookmarkEnd w:id="50"/>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lang w:eastAsia="zh-CN"/>
        </w:rPr>
      </w:pPr>
      <w:r>
        <w:rPr>
          <w:rFonts w:hint="eastAsia" w:ascii="仿宋" w:hAnsi="仿宋" w:eastAsia="仿宋" w:cs="仿宋"/>
          <w:color w:val="auto"/>
        </w:rPr>
        <w:t>（1）科研类</w:t>
      </w:r>
      <w:r>
        <w:rPr>
          <w:rFonts w:hint="eastAsia" w:cs="仿宋"/>
          <w:color w:val="auto"/>
          <w:lang w:eastAsia="zh-CN"/>
        </w:rPr>
        <w:t>项目</w:t>
      </w:r>
    </w:p>
    <w:p>
      <w:pPr>
        <w:pStyle w:val="8"/>
        <w:pageBreakBefore w:val="0"/>
        <w:kinsoku/>
        <w:overflowPunct/>
        <w:topLinePunct w:val="0"/>
        <w:autoSpaceDE/>
        <w:autoSpaceDN/>
        <w:bidi w:val="0"/>
        <w:adjustRightInd/>
        <w:snapToGrid/>
        <w:spacing w:line="540" w:lineRule="exact"/>
        <w:textAlignment w:val="auto"/>
        <w:rPr>
          <w:rFonts w:hint="eastAsia"/>
          <w:color w:val="auto"/>
        </w:rPr>
      </w:pPr>
      <w:r>
        <w:rPr>
          <w:rFonts w:hint="eastAsia"/>
          <w:color w:val="auto"/>
        </w:rPr>
        <w:t>围绕党和国家工作大局、市委市政府中心工作，以社会发展难点、热点问题为主要研究对象，以理论指导实践为研究目的，促进学科理论发展，组织各类课题申报工作。2023年改革与发展项目立项课题94项，其中重点课题26项，青年课题22项，一般课题46项</w:t>
      </w:r>
      <w:r>
        <w:rPr>
          <w:rFonts w:hint="eastAsia"/>
          <w:color w:val="auto"/>
          <w:lang w:eastAsia="zh-CN"/>
        </w:rPr>
        <w:t>。</w:t>
      </w:r>
      <w:r>
        <w:rPr>
          <w:rFonts w:hint="eastAsia"/>
          <w:color w:val="auto"/>
        </w:rPr>
        <w:t>激励课题立项37项</w:t>
      </w:r>
      <w:r>
        <w:rPr>
          <w:rFonts w:hint="eastAsia"/>
          <w:color w:val="auto"/>
          <w:lang w:eastAsia="zh-CN"/>
        </w:rPr>
        <w:t>，皮书集刊论丛课题</w:t>
      </w:r>
      <w:r>
        <w:rPr>
          <w:rFonts w:hint="eastAsia"/>
          <w:color w:val="auto"/>
          <w:lang w:val="en-US" w:eastAsia="zh-CN"/>
        </w:rPr>
        <w:t>17项</w:t>
      </w:r>
      <w:r>
        <w:rPr>
          <w:rFonts w:hint="eastAsia"/>
          <w:color w:val="auto"/>
        </w:rPr>
        <w:t>。</w:t>
      </w:r>
      <w:r>
        <w:rPr>
          <w:rFonts w:hint="eastAsia"/>
          <w:color w:val="auto"/>
          <w:lang w:eastAsia="zh-CN"/>
        </w:rPr>
        <w:t>通过课题研究，</w:t>
      </w:r>
      <w:r>
        <w:rPr>
          <w:rFonts w:hint="eastAsia"/>
          <w:color w:val="auto"/>
        </w:rPr>
        <w:t>公开发表论文380篇，其中权威期刊论文1篇，CSSCI23篇，一般核心期刊论文61篇，《中国社会科学文摘》全文转载1篇，人大报刊资料复印转载5篇。我院决策咨询成果创造历史最好成绩，44项成果实现转化应用，42项成果获得市级以上领导批示，2项成果获得决策部门政策采用，进一步擦亮了“北京社科”智库品牌。</w:t>
      </w:r>
    </w:p>
    <w:p>
      <w:pPr>
        <w:pStyle w:val="8"/>
        <w:pageBreakBefore w:val="0"/>
        <w:kinsoku/>
        <w:overflowPunct/>
        <w:topLinePunct w:val="0"/>
        <w:autoSpaceDE/>
        <w:autoSpaceDN/>
        <w:bidi w:val="0"/>
        <w:adjustRightInd/>
        <w:snapToGrid/>
        <w:spacing w:line="540" w:lineRule="exact"/>
        <w:textAlignment w:val="auto"/>
        <w:rPr>
          <w:rFonts w:hint="eastAsia" w:asciiTheme="minorEastAsia" w:hAnsiTheme="minorEastAsia" w:eastAsiaTheme="minorEastAsia"/>
          <w:sz w:val="28"/>
          <w:szCs w:val="28"/>
        </w:rPr>
      </w:pPr>
      <w:r>
        <w:rPr>
          <w:rFonts w:hint="eastAsia"/>
          <w:color w:val="auto"/>
          <w:lang w:eastAsia="zh-CN"/>
        </w:rPr>
        <w:t>社科学科建设与研究基地建设项目坚持以理论创新为基础，以服务科学决策为目的，以前瞻性研究为重点，以成果应用转化为标准，提高学科建设效益，完善制度机制，扩展国际视野，建设一流学科。依托</w:t>
      </w:r>
      <w:r>
        <w:rPr>
          <w:rFonts w:hint="eastAsia" w:ascii="仿宋" w:hAnsi="仿宋" w:eastAsia="仿宋" w:cs="仿宋"/>
          <w:color w:val="auto"/>
        </w:rPr>
        <w:t>首都高端智库6+1平台</w:t>
      </w:r>
      <w:r>
        <w:rPr>
          <w:rFonts w:hint="eastAsia" w:cs="仿宋"/>
          <w:color w:val="auto"/>
          <w:lang w:eastAsia="zh-CN"/>
        </w:rPr>
        <w:t>项目</w:t>
      </w:r>
      <w:r>
        <w:rPr>
          <w:rFonts w:hint="eastAsia"/>
          <w:color w:val="auto"/>
          <w:lang w:eastAsia="zh-CN"/>
        </w:rPr>
        <w:t>召开</w:t>
      </w:r>
      <w:r>
        <w:rPr>
          <w:rFonts w:hint="eastAsia"/>
          <w:color w:val="auto"/>
        </w:rPr>
        <w:t>2023系列蓝皮书、集刊、论丛成果发布暨学术研讨会</w:t>
      </w:r>
      <w:r>
        <w:rPr>
          <w:rFonts w:hint="eastAsia"/>
          <w:color w:val="auto"/>
          <w:lang w:eastAsia="zh-CN"/>
        </w:rPr>
        <w:t>、满学论坛等多次高端学术论坛，组织学科、研究基地小型学术研讨会、讲座26场；建立国际学术交流点1个，资助出访学者1名，完成出访报告1篇，新增北京社科译丛项目，规划了4个专题作为编译方向，提高国际影响力。开展市内、外实地调研10次。</w:t>
      </w:r>
    </w:p>
    <w:p>
      <w:pPr>
        <w:pStyle w:val="9"/>
        <w:pageBreakBefore w:val="0"/>
        <w:kinsoku/>
        <w:overflowPunct/>
        <w:topLinePunct w:val="0"/>
        <w:autoSpaceDE/>
        <w:autoSpaceDN/>
        <w:bidi w:val="0"/>
        <w:adjustRightInd/>
        <w:snapToGrid/>
        <w:spacing w:line="540" w:lineRule="exact"/>
        <w:textAlignment w:val="auto"/>
        <w:rPr>
          <w:rFonts w:hint="eastAsia" w:ascii="仿宋" w:hAnsi="仿宋" w:eastAsia="仿宋" w:cs="仿宋"/>
          <w:spacing w:val="23"/>
          <w:sz w:val="28"/>
          <w:szCs w:val="28"/>
          <w:lang w:eastAsia="zh-CN"/>
        </w:rPr>
      </w:pPr>
      <w:r>
        <w:rPr>
          <w:rFonts w:hint="eastAsia" w:ascii="仿宋" w:hAnsi="仿宋" w:eastAsia="仿宋" w:cs="仿宋"/>
        </w:rPr>
        <w:t xml:space="preserve">      </w:t>
      </w:r>
      <w:r>
        <w:rPr>
          <w:rFonts w:hint="eastAsia" w:ascii="仿宋" w:hAnsi="仿宋" w:eastAsia="仿宋" w:cs="仿宋"/>
          <w:spacing w:val="23"/>
          <w:sz w:val="28"/>
          <w:szCs w:val="28"/>
        </w:rPr>
        <w:t>（2）宣讲类</w:t>
      </w:r>
      <w:r>
        <w:rPr>
          <w:rFonts w:hint="eastAsia" w:ascii="仿宋" w:hAnsi="仿宋" w:eastAsia="仿宋" w:cs="仿宋"/>
          <w:spacing w:val="23"/>
          <w:sz w:val="28"/>
          <w:szCs w:val="28"/>
          <w:lang w:eastAsia="zh-CN"/>
        </w:rPr>
        <w:t>项目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百姓宣讲，推进习近平新时代中国特色社会主义思想主题教育走深走实、入脑入心、见行见效，精心组建“启航新征程”“建功新时代”“强国复兴有我”等百姓宣讲市级示范团，培训市级宣讲200人，全年开展226场示范宣讲，线上线下受众3183万人次。指导全市初步建立起市、区（工委）、街道（乡镇）、社区（村）四级百姓宣讲体系指导全市共开展各级百姓宣讲活动9517场，线上线下受众达701.8万人次。理论宣讲，围绕学习贯彻党的二十大精神和学习贯彻习近平新时代中国特色社会主义思想主题教育，举办协办理论宣讲报告会240余场次，线上线下受众近1000万人次。内部理论读物《大讲堂》完成12期编辑出版工作，推出48篇高端讲稿、60余万字。网络宣传，发布原创作品3100件，网站PC端及新媒体平台总点击量1.3亿多次，12件作品被中央网信办全网推广，6件作品被市委网信办全网推广。</w:t>
      </w:r>
    </w:p>
    <w:p>
      <w:pPr>
        <w:pStyle w:val="9"/>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kern w:val="2"/>
          <w:sz w:val="28"/>
          <w:szCs w:val="28"/>
          <w:highlight w:val="none"/>
        </w:rPr>
      </w:pPr>
      <w:r>
        <w:rPr>
          <w:rFonts w:hint="eastAsia" w:ascii="仿宋" w:hAnsi="仿宋" w:eastAsia="仿宋" w:cs="仿宋"/>
          <w:spacing w:val="23"/>
          <w:kern w:val="2"/>
          <w:sz w:val="28"/>
          <w:szCs w:val="28"/>
          <w:highlight w:val="none"/>
          <w:lang w:val="en-US" w:eastAsia="zh-CN"/>
        </w:rPr>
        <w:t>(三)办刊类项目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北京社会科学》期刊于1986年创刊，系市社科院主管主办综合性哲学社会科学类学术期刊。《城市问题》期刊于1982年创刊，系市社科院主管主办的城市研究领域综合性学术期刊。2023年，编辑出版《北京社会科学》12期，《城市问题》12期，《北京社科之窗》10期，要报《看一眼》90期。</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lang w:eastAsia="zh-CN"/>
        </w:rPr>
      </w:pPr>
      <w:r>
        <w:rPr>
          <w:rFonts w:hint="eastAsia" w:ascii="仿宋" w:hAnsi="仿宋" w:eastAsia="仿宋" w:cs="仿宋"/>
          <w:spacing w:val="23"/>
          <w:sz w:val="28"/>
          <w:szCs w:val="28"/>
        </w:rPr>
        <w:t>（4）其他</w:t>
      </w:r>
      <w:r>
        <w:rPr>
          <w:rFonts w:hint="eastAsia" w:ascii="仿宋" w:hAnsi="仿宋" w:eastAsia="仿宋" w:cs="仿宋"/>
          <w:spacing w:val="23"/>
          <w:sz w:val="28"/>
          <w:szCs w:val="28"/>
          <w:lang w:eastAsia="zh-CN"/>
        </w:rPr>
        <w:t>保障类</w:t>
      </w:r>
    </w:p>
    <w:p>
      <w:pPr>
        <w:pStyle w:val="9"/>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社科信息化资源及办公设备购置：更新和购买了万方数据资源系统、国研网数据库、读秀知识库、搜数网数据库、国信中心（数据库）、维普知识资源系统、CNKI数据等13个数据库，引进知网检测系统1套；更换38台空调（1.5匹空调37台，2匹空调1台），新购置一体机27台。</w:t>
      </w:r>
    </w:p>
    <w:p>
      <w:pPr>
        <w:pageBreakBefore w:val="0"/>
        <w:kinsoku/>
        <w:overflowPunct/>
        <w:topLinePunct w:val="0"/>
        <w:autoSpaceDE/>
        <w:autoSpaceDN/>
        <w:bidi w:val="0"/>
        <w:adjustRightInd/>
        <w:snapToGrid/>
        <w:spacing w:line="540" w:lineRule="exact"/>
        <w:ind w:firstLine="652" w:firstLineChars="200"/>
        <w:textAlignment w:val="auto"/>
        <w:rPr>
          <w:rFonts w:hint="default"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社科研究成果出版资助:出版各类学术专著40余部。</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签订皮书出版合同 9份、海外皮书出版合同1份；论丛出版合同 6份、集刊出版合同4份、文库出版合同5份，出版文稿已交给出版社。其他支持部门履职项目:召开立项评审会、中期检查、结项评审会2次，研究成果书面鉴定完成36份。</w:t>
      </w:r>
    </w:p>
    <w:p>
      <w:pPr>
        <w:pStyle w:val="8"/>
        <w:pageBreakBefore w:val="0"/>
        <w:kinsoku/>
        <w:overflowPunct/>
        <w:topLinePunct w:val="0"/>
        <w:autoSpaceDE/>
        <w:autoSpaceDN/>
        <w:bidi w:val="0"/>
        <w:adjustRightInd/>
        <w:snapToGrid/>
        <w:spacing w:line="540" w:lineRule="exact"/>
        <w:ind w:left="0" w:leftChars="0" w:firstLine="652" w:firstLineChars="200"/>
        <w:textAlignment w:val="auto"/>
        <w:rPr>
          <w:rFonts w:hint="eastAsia" w:ascii="仿宋" w:hAnsi="仿宋" w:eastAsia="仿宋" w:cs="仿宋"/>
          <w:color w:val="auto"/>
        </w:rPr>
      </w:pPr>
      <w:r>
        <w:rPr>
          <w:rFonts w:hint="eastAsia" w:ascii="仿宋" w:hAnsi="仿宋" w:eastAsia="仿宋" w:cs="仿宋"/>
          <w:color w:val="auto"/>
        </w:rPr>
        <w:t>整体产出数量完成情况较好，但也存在个别项目未能达到指标值的情况</w:t>
      </w:r>
      <w:r>
        <w:rPr>
          <w:rFonts w:hint="eastAsia" w:ascii="仿宋" w:hAnsi="仿宋" w:eastAsia="仿宋" w:cs="仿宋"/>
          <w:color w:val="auto"/>
          <w:spacing w:val="23"/>
          <w:kern w:val="2"/>
          <w:sz w:val="28"/>
          <w:szCs w:val="28"/>
          <w:lang w:val="en-US" w:eastAsia="zh-CN" w:bidi="ar-SA"/>
        </w:rPr>
        <w:t>，如：激励课题计划发表论文分数达525分，但分数为470分，原因为激励课题计划立40项，有3名科研人员放弃申报。</w:t>
      </w:r>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1" w:name="_Toc16712"/>
      <w:r>
        <w:rPr>
          <w:rFonts w:hint="eastAsia" w:ascii="仿宋" w:hAnsi="仿宋" w:eastAsia="仿宋" w:cs="仿宋"/>
        </w:rPr>
        <w:t>2.产出质量</w:t>
      </w:r>
      <w:bookmarkEnd w:id="51"/>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（1）科研</w:t>
      </w:r>
      <w:r>
        <w:rPr>
          <w:rFonts w:hint="eastAsia" w:ascii="仿宋" w:hAnsi="仿宋" w:eastAsia="仿宋" w:cs="仿宋"/>
          <w:spacing w:val="23"/>
          <w:sz w:val="28"/>
          <w:szCs w:val="28"/>
          <w:lang w:eastAsia="zh-CN"/>
        </w:rPr>
        <w:t>类</w:t>
      </w:r>
      <w:r>
        <w:rPr>
          <w:rFonts w:hint="eastAsia" w:ascii="仿宋" w:hAnsi="仿宋" w:eastAsia="仿宋" w:cs="仿宋"/>
          <w:spacing w:val="23"/>
          <w:sz w:val="28"/>
          <w:szCs w:val="28"/>
        </w:rPr>
        <w:t>项目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z w:val="32"/>
          <w:szCs w:val="32"/>
          <w:highlight w:val="cyan"/>
        </w:rPr>
      </w:pPr>
      <w:r>
        <w:rPr>
          <w:rFonts w:hint="eastAsia" w:ascii="仿宋" w:hAnsi="仿宋" w:eastAsia="仿宋" w:cs="仿宋"/>
          <w:color w:val="auto"/>
          <w:spacing w:val="23"/>
          <w:kern w:val="2"/>
          <w:sz w:val="28"/>
          <w:szCs w:val="28"/>
          <w:lang w:val="en-US" w:eastAsia="zh-CN" w:bidi="ar-SA"/>
        </w:rPr>
        <w:t>围绕党和国家工作大局、市委市政府中心工作，开展组织论证，申报国家社科基金项目23项，立项6项，创造近10年最好成绩。全年以市习中心名义在“三报一刊”发表理论文章31篇，其中，重点理论文章8篇，文章数量质量均创历史最好成绩；在“一报一刊”发表理论文章48篇，发文数量较历年大幅提升。市社科院连续5年被市委宣传部、北京市习近平新时代中国特色社会主义思想研究中心评为优秀研究基地。</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2023年第17届哲学社会科学优秀成果奖社科研究系统评选工作中，市社科院获得7个二等奖。第十四届“优秀皮书奖”“优秀皮书报告奖”评选中，《北京蓝皮书：北京文化发展报告（2021-2022）》获得“优秀皮书奖”二等奖，《北京蓝皮书：北京公共服务发展报告（2021-2022）》获得“优秀皮书奖”三等奖，《民生驱动的超大型城市社会治理模式探索》报告获得“优秀皮书报告奖”一等奖，《2021-2022年中国区域经济发展形势与展望》报告获得“优秀皮书报告奖”二等奖。第十届人文社会科学集刊年会上，《北京史学》集刊入选社科文献出版社2023-2024年CNI名录集刊。</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通过学科建设，明确学科定位，提高学科队伍能力和素质，形成合理的队伍结构，形成优长学科；基础研究和应用研究并重，促进交叉及集成学科发展，努力培育学科新的生长点。</w:t>
      </w:r>
    </w:p>
    <w:p>
      <w:pPr>
        <w:pageBreakBefore w:val="0"/>
        <w:numPr>
          <w:ilvl w:val="0"/>
          <w:numId w:val="2"/>
        </w:numPr>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宣讲类项目</w:t>
      </w:r>
    </w:p>
    <w:p>
      <w:pPr>
        <w:pageBreakBefore w:val="0"/>
        <w:numPr>
          <w:ilvl w:val="0"/>
          <w:numId w:val="0"/>
        </w:numPr>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按照年度宣讲方案要求，百姓宣讲立足首都特色，坚持首善标准，紧紧围绕学习宣传贯彻党的二十大这条主线，守正创新、锐意进取，高标准组建市级示范团，高水平推进精品化、精准化宣讲，不断推动党的创新理论大众化、通俗化传播。2023年来自全市各区各系统19个代表队、近百名宣讲员参加年度汇讲，暴晓燕等43名同志获评“市级优秀宣讲员”。</w:t>
      </w:r>
    </w:p>
    <w:p>
      <w:pPr>
        <w:pageBreakBefore w:val="0"/>
        <w:numPr>
          <w:ilvl w:val="0"/>
          <w:numId w:val="0"/>
        </w:numPr>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理论宣讲活动全年举办协办宣讲报告会240余场次，线上线下受众近1000万人次。举办1次基层理论宣讲骨干示范培训班，宣讲内容与中央及市委中心工作契合度达100%。内部理论读物《大讲堂》12期，每期4篇，《中心组学习辅导读本》1套，为党的创新理论提供时效性、权威性、可读性的学习资料。成功开展“宣讲家杯”优秀报告（党课）征集和展播活动，申报作品313件，评选出优秀作品105部，优秀作品达标率100%，并召开总结表彰大会。制定专家库管理办法，并新增72位专家入库。</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宣讲家网站各栏目及内容建设。其中：制作完整报告225部；制作分段报告683部、发布文稿283篇、制作PPT244部、制作专题30部、制作融媒体作品235个、发布专家约稿222个、发布网友约稿1202篇、精品微视频20部、转载文章14770篇、转载视频2050部、转载组图2309个。文章及报告出错率低。主站日均访客达3.5万人次，主站日均访问量达15.5万次，站外平台日均展示量20.5万次。实现了网上良好的宣传效果，被全网转发次数每月达3次，2023年被中央表扬次数达6次。2023年全年平稳运行无软硬件事故。</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（3）办刊类项目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北京社会科学》《城市问题》刊发学术论文258篇，再度入选CSSCI来源期刊等评价榜单。《北京社科之窗》出版10期，微信公众号发布109期，全面展示了市社科院智库优秀成果。优化调整智库要报《看一眼》发刊机制，围绕灾后重建、全国文化中心建设、人口高质量发展等重点选题，专题刊发系列决策咨询报告，全年发刊90期，29期获市领导批示，其中《关于持续提升北京文化论坛国际化水平的对策建议》《克服“瓶颈”促进我市数字文化产业高质量发展》等文章获得市委主要领导批示。</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cs="仿宋"/>
          <w:color w:val="auto"/>
          <w:spacing w:val="23"/>
          <w:kern w:val="2"/>
          <w:sz w:val="28"/>
          <w:szCs w:val="28"/>
          <w:lang w:val="en-US" w:eastAsia="zh-CN" w:bidi="ar-SA"/>
        </w:rPr>
        <w:t>（3）其他保障类项目</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社科信息化资源购置</w:t>
      </w:r>
      <w:r>
        <w:rPr>
          <w:rFonts w:hint="eastAsia" w:cs="仿宋"/>
          <w:color w:val="auto"/>
          <w:spacing w:val="23"/>
          <w:kern w:val="2"/>
          <w:sz w:val="28"/>
          <w:szCs w:val="28"/>
          <w:lang w:val="en-US" w:eastAsia="zh-CN" w:bidi="ar-SA"/>
        </w:rPr>
        <w:t>的</w:t>
      </w:r>
      <w:r>
        <w:rPr>
          <w:rFonts w:hint="eastAsia" w:ascii="仿宋" w:hAnsi="仿宋" w:eastAsia="仿宋" w:cs="仿宋"/>
          <w:color w:val="auto"/>
          <w:spacing w:val="23"/>
          <w:kern w:val="2"/>
          <w:sz w:val="28"/>
          <w:szCs w:val="28"/>
          <w:lang w:val="en-US" w:eastAsia="zh-CN" w:bidi="ar-SA"/>
        </w:rPr>
        <w:t>万方数据资源系统、国研网数据库、读秀知识库、搜数网数据库</w:t>
      </w:r>
      <w:r>
        <w:rPr>
          <w:rFonts w:hint="eastAsia" w:cs="仿宋"/>
          <w:color w:val="auto"/>
          <w:spacing w:val="23"/>
          <w:kern w:val="2"/>
          <w:sz w:val="28"/>
          <w:szCs w:val="28"/>
          <w:lang w:val="en-US" w:eastAsia="zh-CN" w:bidi="ar-SA"/>
        </w:rPr>
        <w:t>等数据库</w:t>
      </w:r>
      <w:r>
        <w:rPr>
          <w:rFonts w:hint="eastAsia" w:ascii="仿宋" w:hAnsi="仿宋" w:eastAsia="仿宋" w:cs="仿宋"/>
          <w:color w:val="auto"/>
          <w:spacing w:val="23"/>
          <w:kern w:val="2"/>
          <w:sz w:val="28"/>
          <w:szCs w:val="28"/>
          <w:lang w:val="en-US" w:eastAsia="zh-CN" w:bidi="ar-SA"/>
        </w:rPr>
        <w:t>资源</w:t>
      </w:r>
      <w:r>
        <w:rPr>
          <w:rFonts w:hint="eastAsia" w:cs="仿宋"/>
          <w:color w:val="auto"/>
          <w:spacing w:val="23"/>
          <w:kern w:val="2"/>
          <w:sz w:val="28"/>
          <w:szCs w:val="28"/>
          <w:lang w:val="en-US" w:eastAsia="zh-CN" w:bidi="ar-SA"/>
        </w:rPr>
        <w:t>为课题研究提供了有力支撑。购置办公设备等保障项目有效提升了工作环境和工作效率。</w:t>
      </w:r>
      <w:r>
        <w:rPr>
          <w:rFonts w:hint="eastAsia" w:ascii="仿宋" w:hAnsi="仿宋" w:eastAsia="仿宋" w:cs="仿宋"/>
          <w:color w:val="auto"/>
          <w:spacing w:val="23"/>
          <w:kern w:val="2"/>
          <w:sz w:val="28"/>
          <w:szCs w:val="28"/>
          <w:lang w:val="en-US" w:eastAsia="zh-CN" w:bidi="ar-SA"/>
        </w:rPr>
        <w:t>社科研究成果出版资助</w:t>
      </w:r>
      <w:r>
        <w:rPr>
          <w:rFonts w:hint="eastAsia" w:cs="仿宋"/>
          <w:color w:val="auto"/>
          <w:spacing w:val="23"/>
          <w:kern w:val="2"/>
          <w:sz w:val="28"/>
          <w:szCs w:val="28"/>
          <w:lang w:val="en-US" w:eastAsia="zh-CN" w:bidi="ar-SA"/>
        </w:rPr>
        <w:t>项目出版的蓝皮书、集刊、论丛在</w:t>
      </w:r>
      <w:r>
        <w:rPr>
          <w:rFonts w:hint="eastAsia" w:ascii="仿宋" w:hAnsi="仿宋" w:eastAsia="仿宋" w:cs="仿宋"/>
          <w:color w:val="auto"/>
          <w:spacing w:val="23"/>
          <w:kern w:val="2"/>
          <w:sz w:val="28"/>
          <w:szCs w:val="28"/>
          <w:lang w:val="en-US" w:eastAsia="zh-CN" w:bidi="ar-SA"/>
        </w:rPr>
        <w:t>第十四届“优秀皮书奖”“优秀皮书报告奖”</w:t>
      </w:r>
      <w:r>
        <w:rPr>
          <w:rFonts w:hint="eastAsia" w:cs="仿宋"/>
          <w:color w:val="auto"/>
          <w:spacing w:val="23"/>
          <w:kern w:val="2"/>
          <w:sz w:val="28"/>
          <w:szCs w:val="28"/>
          <w:lang w:val="en-US" w:eastAsia="zh-CN" w:bidi="ar-SA"/>
        </w:rPr>
        <w:t>以及</w:t>
      </w:r>
      <w:r>
        <w:rPr>
          <w:rFonts w:hint="eastAsia" w:ascii="仿宋" w:hAnsi="仿宋" w:eastAsia="仿宋" w:cs="仿宋"/>
          <w:color w:val="auto"/>
          <w:spacing w:val="23"/>
          <w:kern w:val="2"/>
          <w:sz w:val="28"/>
          <w:szCs w:val="28"/>
          <w:lang w:val="en-US" w:eastAsia="zh-CN" w:bidi="ar-SA"/>
        </w:rPr>
        <w:t>第十届人文社会科学集刊年会评选中</w:t>
      </w:r>
      <w:r>
        <w:rPr>
          <w:rFonts w:hint="eastAsia" w:cs="仿宋"/>
          <w:color w:val="auto"/>
          <w:spacing w:val="23"/>
          <w:kern w:val="2"/>
          <w:sz w:val="28"/>
          <w:szCs w:val="28"/>
          <w:lang w:val="en-US" w:eastAsia="zh-CN" w:bidi="ar-SA"/>
        </w:rPr>
        <w:t>颇受好评并获得奖项。人才</w:t>
      </w:r>
      <w:r>
        <w:rPr>
          <w:rFonts w:hint="eastAsia" w:ascii="仿宋" w:hAnsi="仿宋" w:eastAsia="仿宋" w:cs="仿宋"/>
          <w:color w:val="auto"/>
          <w:spacing w:val="23"/>
          <w:kern w:val="2"/>
          <w:sz w:val="28"/>
          <w:szCs w:val="28"/>
          <w:lang w:val="en-US" w:eastAsia="zh-CN" w:bidi="ar-SA"/>
        </w:rPr>
        <w:t>引进</w:t>
      </w:r>
      <w:r>
        <w:rPr>
          <w:rFonts w:hint="eastAsia" w:cs="仿宋"/>
          <w:color w:val="auto"/>
          <w:spacing w:val="23"/>
          <w:kern w:val="2"/>
          <w:sz w:val="28"/>
          <w:szCs w:val="28"/>
          <w:lang w:val="en-US" w:eastAsia="zh-CN" w:bidi="ar-SA"/>
        </w:rPr>
        <w:t>以及职称评审</w:t>
      </w:r>
      <w:r>
        <w:rPr>
          <w:rFonts w:hint="eastAsia" w:ascii="仿宋" w:hAnsi="仿宋" w:eastAsia="仿宋" w:cs="仿宋"/>
          <w:color w:val="auto"/>
          <w:spacing w:val="23"/>
          <w:kern w:val="2"/>
          <w:sz w:val="28"/>
          <w:szCs w:val="28"/>
          <w:lang w:val="en-US" w:eastAsia="zh-CN" w:bidi="ar-SA"/>
        </w:rPr>
        <w:t>为社会培养优秀人才，建设人才储备库，提升社会影响力，不断提升院科研学术能力及科研成果质量。</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整体上项目产出质量较好。</w:t>
      </w:r>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2" w:name="_Toc27888"/>
      <w:r>
        <w:rPr>
          <w:rFonts w:hint="eastAsia" w:ascii="仿宋" w:hAnsi="仿宋" w:eastAsia="仿宋" w:cs="仿宋"/>
        </w:rPr>
        <w:t>3.产出进度</w:t>
      </w:r>
      <w:bookmarkEnd w:id="52"/>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严格按照年初制定的全年工作计划，依据项目实际</w:t>
      </w:r>
      <w:r>
        <w:rPr>
          <w:rFonts w:hint="eastAsia" w:cs="仿宋"/>
          <w:color w:val="auto"/>
          <w:lang w:eastAsia="zh-CN"/>
        </w:rPr>
        <w:t>开展工作。</w:t>
      </w:r>
      <w:r>
        <w:rPr>
          <w:rFonts w:hint="eastAsia" w:ascii="仿宋" w:hAnsi="仿宋" w:eastAsia="仿宋" w:cs="仿宋"/>
          <w:color w:val="auto"/>
        </w:rPr>
        <w:t>在市委市政府</w:t>
      </w:r>
      <w:r>
        <w:rPr>
          <w:rFonts w:hint="eastAsia" w:cs="仿宋"/>
          <w:color w:val="auto"/>
          <w:lang w:eastAsia="zh-CN"/>
        </w:rPr>
        <w:t>坚强领导</w:t>
      </w:r>
      <w:r>
        <w:rPr>
          <w:rFonts w:hint="eastAsia" w:ascii="仿宋" w:hAnsi="仿宋" w:eastAsia="仿宋" w:cs="仿宋"/>
          <w:color w:val="auto"/>
        </w:rPr>
        <w:t>下，各项工作稳步推进，全年工作进度落实执行情况良好。基本经费支出随工作实际开展进行，符合财政相关规范要求。项目经费支出以完成的21个项目进行总体测算，基本遵循时间进度和资金使用进度相统一的原则，于规定时间内完成项目工作。</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全部项目中，16个项目产出进度指标全部完成</w:t>
      </w:r>
      <w:r>
        <w:rPr>
          <w:rFonts w:hint="eastAsia" w:cs="仿宋"/>
          <w:color w:val="auto"/>
          <w:lang w:eastAsia="zh-CN"/>
        </w:rPr>
        <w:t>，</w:t>
      </w:r>
      <w:r>
        <w:rPr>
          <w:rFonts w:hint="eastAsia" w:ascii="仿宋" w:hAnsi="仿宋" w:eastAsia="仿宋" w:cs="仿宋"/>
          <w:color w:val="auto"/>
        </w:rPr>
        <w:t>社科院机动经费项目未设置产出进度指标</w:t>
      </w:r>
      <w:r>
        <w:rPr>
          <w:rFonts w:hint="eastAsia" w:cs="仿宋"/>
          <w:color w:val="auto"/>
          <w:lang w:eastAsia="zh-CN"/>
        </w:rPr>
        <w:t>，</w:t>
      </w:r>
      <w:r>
        <w:rPr>
          <w:rFonts w:hint="eastAsia" w:ascii="仿宋" w:hAnsi="仿宋" w:eastAsia="仿宋" w:cs="仿宋"/>
          <w:color w:val="auto"/>
        </w:rPr>
        <w:t>4个项目未能在2023年完成相应任务</w:t>
      </w:r>
      <w:r>
        <w:rPr>
          <w:rFonts w:hint="eastAsia" w:cs="仿宋"/>
          <w:color w:val="auto"/>
          <w:lang w:eastAsia="zh-CN"/>
        </w:rPr>
        <w:t>。未完成项目分别为：</w:t>
      </w:r>
      <w:r>
        <w:rPr>
          <w:rFonts w:hint="eastAsia" w:ascii="仿宋" w:hAnsi="仿宋" w:eastAsia="仿宋" w:cs="仿宋"/>
          <w:color w:val="auto"/>
        </w:rPr>
        <w:t>一是社科学科建设与研究基地建设项目未在2023年12月前出版译丛；二是首都高端智库6+1平台建设经费项目因部分上级会议未召开未能在年底前完成学术活动计划；三是社科院改革与发展项目</w:t>
      </w:r>
      <w:r>
        <w:rPr>
          <w:rFonts w:hint="eastAsia" w:cs="仿宋"/>
          <w:color w:val="auto"/>
          <w:lang w:eastAsia="zh-CN"/>
        </w:rPr>
        <w:t>中</w:t>
      </w:r>
      <w:r>
        <w:rPr>
          <w:rFonts w:hint="eastAsia" w:ascii="仿宋" w:hAnsi="仿宋" w:eastAsia="仿宋" w:cs="仿宋"/>
          <w:color w:val="auto"/>
        </w:rPr>
        <w:t>重点课题完成时</w:t>
      </w:r>
      <w:r>
        <w:rPr>
          <w:rFonts w:hint="eastAsia" w:cs="仿宋"/>
          <w:color w:val="auto"/>
          <w:lang w:eastAsia="zh-CN"/>
        </w:rPr>
        <w:t>限为</w:t>
      </w:r>
      <w:r>
        <w:rPr>
          <w:rFonts w:hint="eastAsia" w:ascii="仿宋" w:hAnsi="仿宋" w:eastAsia="仿宋" w:cs="仿宋"/>
          <w:color w:val="auto"/>
        </w:rPr>
        <w:t>2年，</w:t>
      </w:r>
      <w:r>
        <w:rPr>
          <w:rFonts w:hint="eastAsia" w:cs="仿宋"/>
          <w:color w:val="auto"/>
          <w:lang w:eastAsia="zh-CN"/>
        </w:rPr>
        <w:t>部分课题仍在研究过程中故</w:t>
      </w:r>
      <w:r>
        <w:rPr>
          <w:rFonts w:hint="eastAsia" w:ascii="仿宋" w:hAnsi="仿宋" w:eastAsia="仿宋" w:cs="仿宋"/>
          <w:color w:val="auto"/>
        </w:rPr>
        <w:t>结题率未达80%；四是预算项目评审、内审及固定资产管理项目</w:t>
      </w:r>
      <w:r>
        <w:rPr>
          <w:rFonts w:hint="eastAsia" w:cs="仿宋"/>
          <w:color w:val="auto"/>
          <w:lang w:eastAsia="zh-CN"/>
        </w:rPr>
        <w:t>中</w:t>
      </w:r>
      <w:r>
        <w:rPr>
          <w:rFonts w:hint="eastAsia" w:ascii="仿宋" w:hAnsi="仿宋" w:eastAsia="仿宋" w:cs="仿宋"/>
          <w:color w:val="auto"/>
        </w:rPr>
        <w:t>固定资产的全面盘点未</w:t>
      </w:r>
      <w:r>
        <w:rPr>
          <w:rFonts w:hint="eastAsia" w:cs="仿宋"/>
          <w:color w:val="auto"/>
          <w:lang w:eastAsia="zh-CN"/>
        </w:rPr>
        <w:t>按设定目标在</w:t>
      </w:r>
      <w:r>
        <w:rPr>
          <w:rFonts w:hint="eastAsia" w:ascii="仿宋" w:hAnsi="仿宋" w:eastAsia="仿宋" w:cs="仿宋"/>
          <w:color w:val="auto"/>
        </w:rPr>
        <w:t>2-4月完成</w:t>
      </w:r>
      <w:r>
        <w:rPr>
          <w:rFonts w:hint="eastAsia" w:cs="仿宋"/>
          <w:color w:val="auto"/>
          <w:lang w:eastAsia="zh-CN"/>
        </w:rPr>
        <w:t>，</w:t>
      </w:r>
      <w:r>
        <w:rPr>
          <w:rFonts w:hint="eastAsia" w:ascii="仿宋" w:hAnsi="仿宋" w:eastAsia="仿宋" w:cs="仿宋"/>
          <w:color w:val="auto"/>
        </w:rPr>
        <w:t>卡物核对未</w:t>
      </w:r>
      <w:r>
        <w:rPr>
          <w:rFonts w:hint="eastAsia" w:cs="仿宋"/>
          <w:color w:val="auto"/>
          <w:lang w:eastAsia="zh-CN"/>
        </w:rPr>
        <w:t>按设定目标</w:t>
      </w:r>
      <w:r>
        <w:rPr>
          <w:rFonts w:hint="eastAsia" w:ascii="仿宋" w:hAnsi="仿宋" w:eastAsia="仿宋" w:cs="仿宋"/>
          <w:color w:val="auto"/>
        </w:rPr>
        <w:t>在5-7月完成。</w:t>
      </w:r>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3" w:name="_Toc1889"/>
      <w:r>
        <w:rPr>
          <w:rFonts w:hint="eastAsia" w:ascii="仿宋" w:hAnsi="仿宋" w:eastAsia="仿宋" w:cs="仿宋"/>
        </w:rPr>
        <w:t>4.产出成本</w:t>
      </w:r>
      <w:bookmarkEnd w:id="53"/>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按照年度确定的工作目标和实际履职工作需要，严格落实过“紧日子”思想，压缩一般性开支。2023年经费总支出16,829.762879万元，其中：基本支出为11,805.839922万元，占总支出的70.15%，主要用于保障人员等基本支出；项目支出为5,023.922957万元，占总支出29.85%。在项目执行过程中，按照“专款专用、单独核算”的原则对资金进行管理，并采取公开招投标、市场询价、遴选比价等一系列成本控制措施，整体上，市社科院的各项目工作经费支出均控制在年预算内，成本控制情况较好。</w:t>
      </w:r>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54" w:name="_Toc17405"/>
      <w:r>
        <w:rPr>
          <w:rFonts w:hint="eastAsia" w:ascii="仿宋" w:hAnsi="仿宋" w:eastAsia="仿宋" w:cs="仿宋"/>
        </w:rPr>
        <w:t>（二）效果实现情况分析</w:t>
      </w:r>
      <w:bookmarkEnd w:id="54"/>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5" w:name="_Toc32206"/>
      <w:r>
        <w:rPr>
          <w:rFonts w:hint="eastAsia" w:ascii="仿宋" w:hAnsi="仿宋" w:eastAsia="仿宋" w:cs="仿宋"/>
        </w:rPr>
        <w:t>1.社会效益</w:t>
      </w:r>
      <w:bookmarkEnd w:id="55"/>
    </w:p>
    <w:p>
      <w:pPr>
        <w:pageBreakBefore w:val="0"/>
        <w:numPr>
          <w:ilvl w:val="255"/>
          <w:numId w:val="0"/>
        </w:numPr>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lang w:eastAsia="zh-CN"/>
        </w:rPr>
      </w:pPr>
      <w:r>
        <w:rPr>
          <w:rFonts w:hint="eastAsia" w:ascii="仿宋" w:hAnsi="仿宋" w:eastAsia="仿宋" w:cs="仿宋"/>
          <w:spacing w:val="23"/>
          <w:sz w:val="28"/>
          <w:szCs w:val="28"/>
        </w:rPr>
        <w:t>（1）科研</w:t>
      </w:r>
      <w:r>
        <w:rPr>
          <w:rFonts w:hint="eastAsia" w:ascii="仿宋" w:hAnsi="仿宋" w:eastAsia="仿宋" w:cs="仿宋"/>
          <w:spacing w:val="23"/>
          <w:sz w:val="28"/>
          <w:szCs w:val="28"/>
          <w:lang w:eastAsia="zh-CN"/>
        </w:rPr>
        <w:t>类项目</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lang w:eastAsia="zh-CN"/>
        </w:rPr>
      </w:pPr>
      <w:r>
        <w:rPr>
          <w:rFonts w:hint="eastAsia" w:ascii="仿宋" w:hAnsi="仿宋" w:eastAsia="仿宋" w:cs="仿宋"/>
          <w:color w:val="auto"/>
          <w:lang w:val="en-US" w:eastAsia="zh-CN"/>
        </w:rPr>
        <w:t>2023年</w:t>
      </w:r>
      <w:r>
        <w:rPr>
          <w:rFonts w:hint="eastAsia" w:cs="仿宋"/>
          <w:color w:val="auto"/>
          <w:lang w:val="en-US" w:eastAsia="zh-CN"/>
        </w:rPr>
        <w:t>科研项目</w:t>
      </w:r>
      <w:r>
        <w:rPr>
          <w:rFonts w:hint="eastAsia" w:ascii="仿宋" w:hAnsi="仿宋" w:eastAsia="仿宋" w:cs="仿宋"/>
          <w:color w:val="auto"/>
        </w:rPr>
        <w:t>围绕研究阐释习近平新时代中国特色社会主义思想，聚焦学习贯彻党的二十</w:t>
      </w:r>
      <w:r>
        <w:rPr>
          <w:rFonts w:hint="eastAsia" w:cs="仿宋"/>
          <w:color w:val="auto"/>
          <w:lang w:eastAsia="zh-CN"/>
        </w:rPr>
        <w:t>大</w:t>
      </w:r>
      <w:r>
        <w:rPr>
          <w:rFonts w:hint="eastAsia" w:ascii="仿宋" w:hAnsi="仿宋" w:eastAsia="仿宋" w:cs="仿宋"/>
          <w:color w:val="auto"/>
        </w:rPr>
        <w:t>精神，积极推动理论研究成果孵化，努力推出更多高质量研究成果</w:t>
      </w:r>
      <w:r>
        <w:rPr>
          <w:rFonts w:hint="eastAsia" w:ascii="仿宋" w:hAnsi="仿宋" w:eastAsia="仿宋" w:cs="仿宋"/>
          <w:color w:val="auto"/>
          <w:lang w:val="en-US" w:eastAsia="zh-CN"/>
        </w:rPr>
        <w:t>科研</w:t>
      </w:r>
      <w:r>
        <w:rPr>
          <w:rFonts w:hint="eastAsia" w:ascii="仿宋" w:hAnsi="仿宋" w:eastAsia="仿宋" w:cs="仿宋"/>
          <w:color w:val="auto"/>
        </w:rPr>
        <w:t>学术交流活动特色鲜明</w:t>
      </w:r>
      <w:r>
        <w:rPr>
          <w:rFonts w:hint="eastAsia" w:cs="仿宋"/>
          <w:color w:val="auto"/>
          <w:lang w:eastAsia="zh-CN"/>
        </w:rPr>
        <w:t>，</w:t>
      </w:r>
      <w:r>
        <w:rPr>
          <w:rFonts w:hint="eastAsia" w:ascii="仿宋" w:hAnsi="仿宋" w:eastAsia="仿宋" w:cs="仿宋"/>
          <w:color w:val="auto"/>
        </w:rPr>
        <w:t>深挖优势学科学术资源，创新打造“北京社科”品牌性学术活动</w:t>
      </w:r>
      <w:r>
        <w:rPr>
          <w:rFonts w:hint="eastAsia" w:cs="仿宋"/>
          <w:color w:val="auto"/>
          <w:lang w:eastAsia="zh-CN"/>
        </w:rPr>
        <w:t>。</w:t>
      </w:r>
      <w:r>
        <w:rPr>
          <w:rFonts w:hint="eastAsia" w:cs="仿宋"/>
          <w:color w:val="auto"/>
          <w:lang w:val="en-US" w:eastAsia="zh-CN"/>
        </w:rPr>
        <w:t>9月举办蓝皮</w:t>
      </w:r>
      <w:r>
        <w:rPr>
          <w:rFonts w:hint="eastAsia" w:ascii="仿宋" w:hAnsi="仿宋" w:eastAsia="仿宋" w:cs="仿宋"/>
          <w:color w:val="auto"/>
          <w:lang w:val="en-US" w:eastAsia="zh-CN"/>
        </w:rPr>
        <w:t>书集刊论丛</w:t>
      </w:r>
      <w:r>
        <w:rPr>
          <w:rFonts w:hint="eastAsia" w:ascii="仿宋" w:hAnsi="仿宋" w:eastAsia="仿宋" w:cs="仿宋"/>
          <w:color w:val="auto"/>
        </w:rPr>
        <w:t>成果发布暨学术研讨会</w:t>
      </w:r>
      <w:r>
        <w:rPr>
          <w:rFonts w:hint="eastAsia" w:ascii="仿宋" w:hAnsi="仿宋" w:eastAsia="仿宋" w:cs="仿宋"/>
          <w:color w:val="auto"/>
          <w:lang w:val="en-US" w:eastAsia="zh-CN"/>
        </w:rPr>
        <w:t>发布会</w:t>
      </w:r>
      <w:r>
        <w:rPr>
          <w:rFonts w:hint="eastAsia" w:cs="仿宋"/>
          <w:color w:val="auto"/>
          <w:lang w:val="en-US" w:eastAsia="zh-CN"/>
        </w:rPr>
        <w:t>，</w:t>
      </w:r>
      <w:r>
        <w:rPr>
          <w:rFonts w:hint="eastAsia" w:ascii="仿宋" w:hAnsi="仿宋" w:eastAsia="仿宋" w:cs="仿宋"/>
          <w:color w:val="auto"/>
          <w:lang w:val="en-US" w:eastAsia="zh-CN"/>
        </w:rPr>
        <w:t>10月举办</w:t>
      </w:r>
      <w:r>
        <w:rPr>
          <w:rFonts w:hint="eastAsia" w:ascii="仿宋" w:hAnsi="仿宋" w:eastAsia="仿宋" w:cs="仿宋"/>
          <w:color w:val="auto"/>
        </w:rPr>
        <w:t>“满学论坛（2023）”引发学界热烈反响。聚焦研究所学科学术建设和学术人才培养，持续培育“健翔学苑”“明德沙龙”等</w:t>
      </w:r>
      <w:r>
        <w:rPr>
          <w:rFonts w:hint="eastAsia" w:cs="仿宋"/>
          <w:color w:val="auto"/>
          <w:lang w:val="en-US" w:eastAsia="zh-CN"/>
        </w:rPr>
        <w:t>15个学术活动子</w:t>
      </w:r>
      <w:r>
        <w:rPr>
          <w:rFonts w:hint="eastAsia" w:ascii="仿宋" w:hAnsi="仿宋" w:eastAsia="仿宋" w:cs="仿宋"/>
          <w:color w:val="auto"/>
        </w:rPr>
        <w:t>品牌</w:t>
      </w:r>
      <w:r>
        <w:rPr>
          <w:rFonts w:hint="eastAsia" w:cs="仿宋"/>
          <w:color w:val="auto"/>
          <w:lang w:eastAsia="zh-CN"/>
        </w:rPr>
        <w:t>，</w:t>
      </w:r>
      <w:r>
        <w:rPr>
          <w:rFonts w:hint="eastAsia" w:ascii="仿宋" w:hAnsi="仿宋" w:eastAsia="仿宋" w:cs="仿宋"/>
          <w:color w:val="auto"/>
        </w:rPr>
        <w:t>充分发挥高端智库平台优势，提升了</w:t>
      </w:r>
      <w:r>
        <w:rPr>
          <w:rFonts w:hint="eastAsia" w:cs="仿宋"/>
          <w:color w:val="auto"/>
          <w:lang w:eastAsia="zh-CN"/>
        </w:rPr>
        <w:t>市社科院</w:t>
      </w:r>
      <w:r>
        <w:rPr>
          <w:rFonts w:hint="eastAsia" w:ascii="仿宋" w:hAnsi="仿宋" w:eastAsia="仿宋" w:cs="仿宋"/>
          <w:color w:val="auto"/>
        </w:rPr>
        <w:t>的学术影响力与知名度</w:t>
      </w:r>
      <w:r>
        <w:rPr>
          <w:rFonts w:hint="eastAsia" w:cs="仿宋"/>
          <w:color w:val="auto"/>
          <w:lang w:eastAsia="zh-CN"/>
        </w:rPr>
        <w:t>。</w:t>
      </w:r>
    </w:p>
    <w:p>
      <w:pPr>
        <w:pStyle w:val="8"/>
        <w:pageBreakBefore w:val="0"/>
        <w:kinsoku/>
        <w:overflowPunct/>
        <w:topLinePunct w:val="0"/>
        <w:autoSpaceDE/>
        <w:autoSpaceDN/>
        <w:bidi w:val="0"/>
        <w:adjustRightInd/>
        <w:snapToGrid/>
        <w:spacing w:line="540" w:lineRule="exact"/>
        <w:textAlignment w:val="auto"/>
        <w:rPr>
          <w:rFonts w:hint="default" w:ascii="仿宋" w:hAnsi="仿宋" w:eastAsia="仿宋" w:cs="仿宋"/>
          <w:color w:val="auto"/>
          <w:lang w:val="en-US" w:eastAsia="zh-CN"/>
        </w:rPr>
      </w:pPr>
      <w:r>
        <w:rPr>
          <w:rFonts w:hint="eastAsia" w:ascii="仿宋" w:hAnsi="仿宋" w:eastAsia="仿宋" w:cs="仿宋"/>
          <w:color w:val="auto"/>
        </w:rPr>
        <w:t>满学论坛（2023）</w:t>
      </w:r>
      <w:r>
        <w:rPr>
          <w:rFonts w:hint="eastAsia" w:cs="仿宋"/>
          <w:color w:val="auto"/>
          <w:lang w:eastAsia="zh-CN"/>
        </w:rPr>
        <w:t>聚焦“推动满学研究高质量发展、繁荣发展首都哲学社会科学”主题，深入学习贯彻习近平总书记在文化传承发展座谈会上的重要讲话精神，为加快构建中国特色哲学社会科学“三大体系”建设贡献力量。来自中国社会科学院、中国第一历史档案馆、故宫博物院、北京大学、中国人民大学、南开大学、黑龙江大学等</w:t>
      </w:r>
      <w:r>
        <w:rPr>
          <w:rFonts w:hint="eastAsia" w:cs="仿宋"/>
          <w:color w:val="auto"/>
          <w:lang w:val="en-US" w:eastAsia="zh-CN"/>
        </w:rPr>
        <w:t>10</w:t>
      </w:r>
      <w:r>
        <w:rPr>
          <w:rFonts w:hint="eastAsia" w:cs="仿宋"/>
          <w:color w:val="auto"/>
          <w:lang w:eastAsia="zh-CN"/>
        </w:rPr>
        <w:t>余家单位，</w:t>
      </w:r>
      <w:r>
        <w:rPr>
          <w:rFonts w:hint="eastAsia" w:cs="仿宋"/>
          <w:color w:val="auto"/>
          <w:lang w:val="en-US" w:eastAsia="zh-CN"/>
        </w:rPr>
        <w:t>100余名专家学者受邀参加会议。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按照中宣部、市委工作部署，根据北京文化论坛领导小组统一安排，市社科院精心制定工作方案，出色完成《北京全国文化中心建设发展报告》撰写任务，积极参与嘉宾邀请工作，与市社科联协同推进开幕式暨主论坛筹备相关工作，圆满保障了开幕式暨主论坛的顺利召开。论坛结束后，对开幕式暨主论坛嘉宾发言、亮点进行归纳整理，为论坛总结和成果转化提供依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落实院意识形态分析研判与舆情信息工作实施办法，意识形态研判团队完成76篇报告，思想理论动态小组完成20篇报告，为国家和首都意识形态安全贡献力量。强化舆情深度分析研判工作，中宣部舆情局综采29篇，其中2篇获得中央领导批示；市委宣传部舆情处综采26篇，其中3篇获得市领导批示。发挥市级网评员作用，撰写网评文章，积极转发跟帖，有力引导舆论。</w:t>
      </w:r>
    </w:p>
    <w:p>
      <w:pPr>
        <w:pageBreakBefore w:val="0"/>
        <w:numPr>
          <w:ilvl w:val="255"/>
          <w:numId w:val="0"/>
        </w:numPr>
        <w:kinsoku/>
        <w:overflowPunct/>
        <w:topLinePunct w:val="0"/>
        <w:autoSpaceDE/>
        <w:autoSpaceDN/>
        <w:bidi w:val="0"/>
        <w:adjustRightInd/>
        <w:snapToGrid/>
        <w:spacing w:line="540" w:lineRule="exact"/>
        <w:ind w:firstLine="652" w:firstLineChars="200"/>
        <w:jc w:val="lef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（2）宣讲类项目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理论宣讲广受好评。围绕学习贯彻党的二十大精神和学习贯彻习近平新时代中国特色社会主义思想主题教育，举办协办宣讲报告会240余场次，举办基层理论宣讲骨干示范培训班，锻炼宣讲队伍、储备宣讲人才。学习贯彻党的二十大精神“理论+百姓+文艺”特色宣讲团和推荐的1名理论宣讲专家荣获中宣部2023年基层理论宣讲先进集体、先进个人称号。</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百姓宣讲可圈可点。坚持群众主体地位，精心组建“启航新征程”“建功新时代”“强国复兴有我”等百姓宣讲市级示范团，高水平推进精品化、精准化宣讲，不断推动党的创新理论大众化、通俗化传播，全年开展226场示范宣讲，线上线下受众3183万人次。宣讲活动得到市委宣传部高度认可，专门出四期专刊在全国宣传系统推广。</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网络宣传昂扬向上。发布原创作品3100件，网站PC端及新媒体平台总点击量1.3亿多次，12件作品被中央网信办全网推广，6件作品被市委网信办全网推广。《中国式现代化何以能成功推进和拓展》荣获中宣部2023年全国基层理论宣讲优秀报告。《纪念红军长征胜利85周年系列图解合辑》荣获中央网信办2022年中国正能量（五个一百）网络精品征集展播活动“百项网络正能量图片”奖。“艺宣讲”3场报告微博阅读量1804.6万次，“强国复兴有我”微博阅读量890余万次，宣传宣讲品牌传播力不断提升。</w:t>
      </w:r>
    </w:p>
    <w:p>
      <w:pPr>
        <w:pStyle w:val="8"/>
        <w:pageBreakBefore w:val="0"/>
        <w:kinsoku/>
        <w:overflowPunct/>
        <w:topLinePunct w:val="0"/>
        <w:autoSpaceDE/>
        <w:autoSpaceDN/>
        <w:bidi w:val="0"/>
        <w:adjustRightInd/>
        <w:snapToGrid/>
        <w:spacing w:line="540" w:lineRule="exact"/>
        <w:ind w:left="0" w:leftChars="0"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 xml:space="preserve">（3）办刊类项目 </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北京社会科学》期刊，属全国中文核心期刊，是CSSCI来源期刊、中国人文社会科学核心期刊、武汉大学中国核心学术期刊（RCCSE），是人大复印资料重要转载来源期刊，国家社科基金资助期刊。《城市问题》期刊被中文核心期刊、中国人文社会科学核心期刊、中文社会科学引文索引（CSSCI）来源期刊、中国最具国际影响力学术期刊、“复印报刊资料重要转载来源期刊”等数据库收录。智库要报《看一眼》是向市委市政府资政建言的重要内部刊物，要报文章多次获得市主要领导指示。《北京社会科学志》北京社科志的编纂服务全市修志工作，对规范志书编纂体系，拓展方志研究和应用起到了较大推动作用。</w:t>
      </w:r>
    </w:p>
    <w:p>
      <w:pPr>
        <w:pStyle w:val="8"/>
        <w:pageBreakBefore w:val="0"/>
        <w:kinsoku/>
        <w:overflowPunct/>
        <w:topLinePunct w:val="0"/>
        <w:autoSpaceDE/>
        <w:autoSpaceDN/>
        <w:bidi w:val="0"/>
        <w:adjustRightInd/>
        <w:snapToGrid/>
        <w:spacing w:line="540" w:lineRule="exact"/>
        <w:textAlignment w:val="auto"/>
        <w:rPr>
          <w:rFonts w:hint="eastAsia" w:cs="仿宋"/>
          <w:color w:val="auto"/>
          <w:spacing w:val="23"/>
          <w:kern w:val="2"/>
          <w:sz w:val="28"/>
          <w:szCs w:val="28"/>
          <w:lang w:val="en-US" w:eastAsia="zh-CN" w:bidi="ar-SA"/>
        </w:rPr>
      </w:pPr>
      <w:r>
        <w:rPr>
          <w:rFonts w:hint="eastAsia" w:cs="仿宋"/>
          <w:color w:val="auto"/>
          <w:spacing w:val="23"/>
          <w:kern w:val="2"/>
          <w:sz w:val="28"/>
          <w:szCs w:val="28"/>
          <w:lang w:val="en-US" w:eastAsia="zh-CN" w:bidi="ar-SA"/>
        </w:rPr>
        <w:t>（4）其他保障类项目</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通过社科信息化资源购置类项目的实施，实现了统计数据、文献等多种类型资源的整合检索，文献资源保障有力，不断强化科研智库和办公信息化保障。</w:t>
      </w:r>
      <w:r>
        <w:rPr>
          <w:rFonts w:hint="eastAsia" w:cs="仿宋"/>
          <w:color w:val="auto"/>
          <w:spacing w:val="23"/>
          <w:kern w:val="2"/>
          <w:sz w:val="28"/>
          <w:szCs w:val="28"/>
          <w:lang w:val="en-US" w:eastAsia="zh-CN" w:bidi="ar-SA"/>
        </w:rPr>
        <w:t>互联网接入</w:t>
      </w:r>
      <w:r>
        <w:rPr>
          <w:rFonts w:hint="eastAsia" w:ascii="仿宋" w:hAnsi="仿宋" w:eastAsia="仿宋" w:cs="仿宋"/>
          <w:color w:val="auto"/>
          <w:spacing w:val="23"/>
          <w:kern w:val="2"/>
          <w:sz w:val="28"/>
          <w:szCs w:val="28"/>
          <w:lang w:val="en-US" w:eastAsia="zh-CN" w:bidi="ar-SA"/>
        </w:rPr>
        <w:t>实现增容，2023年使用互联网接入200M服务，为单位网站、远程办公、视频会议、科研查阅、政务云及各应用系统提供基础支持</w:t>
      </w:r>
      <w:r>
        <w:rPr>
          <w:rFonts w:hint="eastAsia" w:cs="仿宋"/>
          <w:color w:val="auto"/>
          <w:spacing w:val="23"/>
          <w:kern w:val="2"/>
          <w:sz w:val="28"/>
          <w:szCs w:val="28"/>
          <w:lang w:val="en-US" w:eastAsia="zh-CN" w:bidi="ar-SA"/>
        </w:rPr>
        <w:t>，办公设备购置等</w:t>
      </w:r>
      <w:r>
        <w:rPr>
          <w:rFonts w:hint="eastAsia" w:ascii="仿宋" w:hAnsi="仿宋" w:eastAsia="仿宋" w:cs="仿宋"/>
          <w:color w:val="auto"/>
          <w:spacing w:val="23"/>
          <w:kern w:val="2"/>
          <w:sz w:val="28"/>
          <w:szCs w:val="28"/>
          <w:lang w:val="en-US" w:eastAsia="zh-CN" w:bidi="ar-SA"/>
        </w:rPr>
        <w:t>满</w:t>
      </w:r>
      <w:r>
        <w:rPr>
          <w:rFonts w:hint="eastAsia" w:cs="仿宋"/>
          <w:color w:val="auto"/>
          <w:spacing w:val="23"/>
          <w:kern w:val="2"/>
          <w:sz w:val="28"/>
          <w:szCs w:val="28"/>
          <w:lang w:val="en-US" w:eastAsia="zh-CN" w:bidi="ar-SA"/>
        </w:rPr>
        <w:t>了</w:t>
      </w:r>
      <w:r>
        <w:rPr>
          <w:rFonts w:hint="eastAsia" w:ascii="仿宋" w:hAnsi="仿宋" w:eastAsia="仿宋" w:cs="仿宋"/>
          <w:color w:val="auto"/>
          <w:spacing w:val="23"/>
          <w:kern w:val="2"/>
          <w:sz w:val="28"/>
          <w:szCs w:val="28"/>
          <w:lang w:val="en-US" w:eastAsia="zh-CN" w:bidi="ar-SA"/>
        </w:rPr>
        <w:t>足科研人员和行政人员办公需求，保障了办公质量。</w:t>
      </w:r>
      <w:r>
        <w:rPr>
          <w:rFonts w:hint="eastAsia" w:cs="仿宋"/>
          <w:color w:val="auto"/>
          <w:spacing w:val="23"/>
          <w:kern w:val="2"/>
          <w:sz w:val="28"/>
          <w:szCs w:val="28"/>
          <w:lang w:val="en-US" w:eastAsia="zh-CN" w:bidi="ar-SA"/>
        </w:rPr>
        <w:t>其他项目如人防工程改造</w:t>
      </w:r>
      <w:r>
        <w:rPr>
          <w:rFonts w:hint="eastAsia" w:ascii="仿宋" w:hAnsi="仿宋" w:eastAsia="仿宋" w:cs="仿宋"/>
          <w:color w:val="auto"/>
          <w:spacing w:val="23"/>
          <w:kern w:val="2"/>
          <w:sz w:val="28"/>
          <w:szCs w:val="28"/>
          <w:lang w:val="en-US" w:eastAsia="zh-CN" w:bidi="ar-SA"/>
        </w:rPr>
        <w:t>恢复了办公楼地下人防工程，并通过朝阳区人防办验收，颁发了人防工程使用许可证，依法合规使用，具备了仓储使用功能，有效解决了研究所、编辑部等部门书籍资料存储空间不足的问题，进一步提升了</w:t>
      </w:r>
      <w:r>
        <w:rPr>
          <w:rFonts w:hint="eastAsia" w:cs="仿宋"/>
          <w:color w:val="auto"/>
          <w:spacing w:val="23"/>
          <w:kern w:val="2"/>
          <w:sz w:val="28"/>
          <w:szCs w:val="28"/>
          <w:lang w:val="en-US" w:eastAsia="zh-CN" w:bidi="ar-SA"/>
        </w:rPr>
        <w:t>市社科院</w:t>
      </w:r>
      <w:r>
        <w:rPr>
          <w:rFonts w:hint="eastAsia" w:ascii="仿宋" w:hAnsi="仿宋" w:eastAsia="仿宋" w:cs="仿宋"/>
          <w:color w:val="auto"/>
          <w:spacing w:val="23"/>
          <w:kern w:val="2"/>
          <w:sz w:val="28"/>
          <w:szCs w:val="28"/>
          <w:lang w:val="en-US" w:eastAsia="zh-CN" w:bidi="ar-SA"/>
        </w:rPr>
        <w:t>办公科研环境治理水平。</w:t>
      </w:r>
    </w:p>
    <w:p>
      <w:pPr>
        <w:pStyle w:val="4"/>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仿宋" w:hAnsi="仿宋" w:eastAsia="仿宋" w:cs="仿宋"/>
          <w:color w:val="auto"/>
        </w:rPr>
      </w:pPr>
      <w:bookmarkStart w:id="56" w:name="_Toc1820"/>
      <w:r>
        <w:rPr>
          <w:rFonts w:hint="eastAsia" w:ascii="仿宋" w:hAnsi="仿宋" w:eastAsia="仿宋" w:cs="仿宋"/>
          <w:color w:val="auto"/>
        </w:rPr>
        <w:t>2.可持续性影响</w:t>
      </w:r>
      <w:bookmarkEnd w:id="56"/>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（1）科研类项目</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科研工作的深入发展，为市委市政府提供了有力的理论支撑。2023年市社科院决策咨询成果创造历史最好成绩，44项成果实现转化应用，42项成果获得市级以上领导批示，2项成果获得决策部门政策采用，进一步擦亮了“北京社科”智库品牌。这些成果提升了市社科院的学术影响力，扩大了市社科院成果的社会效益，通过领导批示转化为领导决策，为社会服务，通过论文专著形式向社会宣传正确的理论思想、普及社科知识、提升社会科学的学术影响力，巩固舆论宣传阵地。市社科院编著的蓝皮书、集刊和论丛是一系列从各个方面反映北京发展状况的指南，为政府决策提供参考，促进专家学术研究平台建设，丰富了社会智库产品。</w:t>
      </w:r>
    </w:p>
    <w:p>
      <w:pPr>
        <w:pStyle w:val="8"/>
        <w:pageBreakBefore w:val="0"/>
        <w:numPr>
          <w:ilvl w:val="0"/>
          <w:numId w:val="0"/>
        </w:numPr>
        <w:kinsoku/>
        <w:overflowPunct/>
        <w:topLinePunct w:val="0"/>
        <w:autoSpaceDE/>
        <w:autoSpaceDN/>
        <w:bidi w:val="0"/>
        <w:adjustRightInd/>
        <w:snapToGrid/>
        <w:spacing w:line="540" w:lineRule="exact"/>
        <w:ind w:leftChars="200" w:right="11" w:rightChars="0"/>
        <w:textAlignment w:val="auto"/>
        <w:rPr>
          <w:rFonts w:hint="eastAsia" w:cs="仿宋"/>
          <w:color w:val="auto"/>
          <w:spacing w:val="23"/>
          <w:kern w:val="2"/>
          <w:sz w:val="28"/>
          <w:szCs w:val="28"/>
          <w:lang w:val="en-US" w:eastAsia="zh-CN" w:bidi="ar-SA"/>
        </w:rPr>
      </w:pPr>
      <w:r>
        <w:rPr>
          <w:rFonts w:hint="eastAsia" w:cs="仿宋"/>
          <w:color w:val="auto"/>
          <w:spacing w:val="23"/>
          <w:kern w:val="2"/>
          <w:sz w:val="28"/>
          <w:szCs w:val="28"/>
          <w:lang w:val="en-US" w:eastAsia="zh-CN" w:bidi="ar-SA"/>
        </w:rPr>
        <w:t>（2）宣讲类项目</w:t>
      </w:r>
    </w:p>
    <w:p>
      <w:pPr>
        <w:pStyle w:val="9"/>
        <w:pageBreakBefore w:val="0"/>
        <w:numPr>
          <w:ilvl w:val="0"/>
          <w:numId w:val="0"/>
        </w:numPr>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围绕学习贯彻党的二十大精神和学习贯彻习近平新时代中国特色社会主义思想主题教育，百姓宣讲、理论宣讲、网络宣讲通过“强国复兴有我”等主题百姓宣讲示范团、“微宣讲”、“艺宣讲”等特色理论宣讲团多形式、全覆盖，集中组织党的二十大代表、全国劳动模范、北京榜样、行业先进代表等宣讲员走进高校开展宣讲报告和座谈交流，以身边故事、榜样力量和青春风采为首都高校师生呈现生动而深刻的大思政课，生动实践面对面系列宣讲活动在首都高校师生中产生良好反响。北京市百姓宣讲已经成为北京市宣传思想工作的金字招牌，成为首都弘扬社会主义核心价值观的重要抓手，在弘扬主旋律、传播正能量方面发挥着重要作用，被中宣部作为宣传思想工作典型案例向全国推广。</w:t>
      </w:r>
    </w:p>
    <w:p>
      <w:pPr>
        <w:pStyle w:val="8"/>
        <w:pageBreakBefore w:val="0"/>
        <w:kinsoku/>
        <w:overflowPunct/>
        <w:topLinePunct w:val="0"/>
        <w:autoSpaceDE/>
        <w:autoSpaceDN/>
        <w:bidi w:val="0"/>
        <w:adjustRightInd/>
        <w:snapToGrid/>
        <w:spacing w:line="540" w:lineRule="exact"/>
        <w:textAlignment w:val="auto"/>
        <w:rPr>
          <w:rFonts w:hint="eastAsia"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（3）</w:t>
      </w:r>
      <w:r>
        <w:rPr>
          <w:rFonts w:hint="eastAsia" w:cs="仿宋"/>
          <w:color w:val="auto"/>
          <w:spacing w:val="23"/>
          <w:kern w:val="2"/>
          <w:sz w:val="28"/>
          <w:szCs w:val="28"/>
          <w:lang w:val="en-US" w:eastAsia="zh-CN" w:bidi="ar-SA"/>
        </w:rPr>
        <w:t>办刊类项目</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《北京社会科学》《城市问题》刊发学术论文258篇，再度入选CSSCI来源期刊等评价榜单。《北京社会科学》近年来社会影响持续提升</w:t>
      </w:r>
      <w:r>
        <w:rPr>
          <w:rFonts w:hint="eastAsia" w:cs="仿宋"/>
          <w:color w:val="auto"/>
          <w:spacing w:val="23"/>
          <w:kern w:val="2"/>
          <w:sz w:val="28"/>
          <w:szCs w:val="28"/>
          <w:lang w:val="en-US" w:eastAsia="zh-CN" w:bidi="ar-SA"/>
        </w:rPr>
        <w:t>，</w:t>
      </w:r>
      <w:r>
        <w:rPr>
          <w:rFonts w:hint="eastAsia" w:ascii="仿宋" w:hAnsi="仿宋" w:eastAsia="仿宋" w:cs="仿宋"/>
          <w:color w:val="auto"/>
          <w:spacing w:val="23"/>
          <w:kern w:val="2"/>
          <w:sz w:val="28"/>
          <w:szCs w:val="28"/>
          <w:lang w:val="en-US" w:eastAsia="zh-CN" w:bidi="ar-SA"/>
        </w:rPr>
        <w:t>微信公众号关注人数达16500人，较去年同期增加了18%；公众号进入CSSCI来源刊公众号传播力指数（综合性社会科学）前30名。</w:t>
      </w:r>
      <w:r>
        <w:rPr>
          <w:rFonts w:hint="eastAsia" w:cs="仿宋"/>
          <w:color w:val="auto"/>
          <w:spacing w:val="23"/>
          <w:kern w:val="2"/>
          <w:sz w:val="28"/>
          <w:szCs w:val="28"/>
          <w:lang w:val="en-US" w:eastAsia="zh-CN" w:bidi="ar-SA"/>
        </w:rPr>
        <w:t>同时，</w:t>
      </w:r>
      <w:r>
        <w:rPr>
          <w:rFonts w:hint="eastAsia" w:ascii="仿宋" w:hAnsi="仿宋" w:eastAsia="仿宋" w:cs="仿宋"/>
          <w:color w:val="auto"/>
          <w:spacing w:val="23"/>
          <w:kern w:val="2"/>
          <w:sz w:val="28"/>
          <w:szCs w:val="28"/>
          <w:lang w:val="en-US" w:eastAsia="zh-CN" w:bidi="ar-SA"/>
        </w:rPr>
        <w:t>被国家哲学社会科学文献中心评为“2016-2021年最受欢迎期刊”和“国家哲学社会科学文献中心2021年度综合性人文社会科学最受欢迎期刊”。</w:t>
      </w:r>
    </w:p>
    <w:p>
      <w:pPr>
        <w:pStyle w:val="8"/>
        <w:pageBreakBefore w:val="0"/>
        <w:kinsoku/>
        <w:overflowPunct/>
        <w:topLinePunct w:val="0"/>
        <w:autoSpaceDE/>
        <w:autoSpaceDN/>
        <w:bidi w:val="0"/>
        <w:adjustRightInd/>
        <w:snapToGrid/>
        <w:spacing w:line="540" w:lineRule="exact"/>
        <w:textAlignment w:val="auto"/>
        <w:rPr>
          <w:rFonts w:hint="eastAsia"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w:t>
      </w:r>
      <w:r>
        <w:rPr>
          <w:rFonts w:hint="eastAsia" w:cs="仿宋"/>
          <w:color w:val="auto"/>
          <w:spacing w:val="23"/>
          <w:kern w:val="2"/>
          <w:sz w:val="28"/>
          <w:szCs w:val="28"/>
          <w:lang w:val="en-US" w:eastAsia="zh-CN" w:bidi="ar-SA"/>
        </w:rPr>
        <w:t>4</w:t>
      </w:r>
      <w:r>
        <w:rPr>
          <w:rFonts w:hint="eastAsia" w:ascii="仿宋" w:hAnsi="仿宋" w:eastAsia="仿宋" w:cs="仿宋"/>
          <w:color w:val="auto"/>
          <w:spacing w:val="23"/>
          <w:kern w:val="2"/>
          <w:sz w:val="28"/>
          <w:szCs w:val="28"/>
          <w:lang w:val="en-US" w:eastAsia="zh-CN" w:bidi="ar-SA"/>
        </w:rPr>
        <w:t>）</w:t>
      </w:r>
      <w:r>
        <w:rPr>
          <w:rFonts w:hint="eastAsia" w:cs="仿宋"/>
          <w:color w:val="auto"/>
          <w:spacing w:val="23"/>
          <w:kern w:val="2"/>
          <w:sz w:val="28"/>
          <w:szCs w:val="28"/>
          <w:lang w:val="en-US" w:eastAsia="zh-CN" w:bidi="ar-SA"/>
        </w:rPr>
        <w:t>其他保障类项目</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通过社科信息化资源</w:t>
      </w:r>
      <w:r>
        <w:rPr>
          <w:rFonts w:hint="eastAsia" w:cs="仿宋"/>
          <w:color w:val="auto"/>
          <w:spacing w:val="23"/>
          <w:kern w:val="2"/>
          <w:sz w:val="28"/>
          <w:szCs w:val="28"/>
          <w:lang w:val="en-US" w:eastAsia="zh-CN" w:bidi="ar-SA"/>
        </w:rPr>
        <w:t>和办公设备购置，互联网、政务云、</w:t>
      </w:r>
      <w:r>
        <w:rPr>
          <w:rFonts w:hint="eastAsia" w:ascii="仿宋" w:hAnsi="仿宋" w:eastAsia="仿宋" w:cs="仿宋"/>
          <w:color w:val="auto"/>
          <w:spacing w:val="23"/>
          <w:kern w:val="2"/>
          <w:sz w:val="28"/>
          <w:szCs w:val="28"/>
          <w:lang w:val="en-US" w:eastAsia="zh-CN" w:bidi="ar-SA"/>
        </w:rPr>
        <w:t>信息系统运维</w:t>
      </w:r>
      <w:r>
        <w:rPr>
          <w:rFonts w:hint="eastAsia" w:cs="仿宋"/>
          <w:color w:val="auto"/>
          <w:spacing w:val="23"/>
          <w:kern w:val="2"/>
          <w:sz w:val="28"/>
          <w:szCs w:val="28"/>
          <w:lang w:val="en-US" w:eastAsia="zh-CN" w:bidi="ar-SA"/>
        </w:rPr>
        <w:t>等</w:t>
      </w:r>
      <w:r>
        <w:rPr>
          <w:rFonts w:hint="eastAsia" w:ascii="仿宋" w:hAnsi="仿宋" w:eastAsia="仿宋" w:cs="仿宋"/>
          <w:color w:val="auto"/>
          <w:spacing w:val="23"/>
          <w:kern w:val="2"/>
          <w:sz w:val="28"/>
          <w:szCs w:val="28"/>
          <w:lang w:val="en-US" w:eastAsia="zh-CN" w:bidi="ar-SA"/>
        </w:rPr>
        <w:t>项目的实施，保障了</w:t>
      </w:r>
      <w:r>
        <w:rPr>
          <w:rFonts w:hint="eastAsia" w:cs="仿宋"/>
          <w:color w:val="auto"/>
          <w:spacing w:val="23"/>
          <w:kern w:val="2"/>
          <w:sz w:val="28"/>
          <w:szCs w:val="28"/>
          <w:lang w:val="en-US" w:eastAsia="zh-CN" w:bidi="ar-SA"/>
        </w:rPr>
        <w:t>全院信息</w:t>
      </w:r>
      <w:r>
        <w:rPr>
          <w:rFonts w:hint="eastAsia" w:ascii="仿宋" w:hAnsi="仿宋" w:eastAsia="仿宋" w:cs="仿宋"/>
          <w:color w:val="auto"/>
          <w:spacing w:val="23"/>
          <w:kern w:val="2"/>
          <w:sz w:val="28"/>
          <w:szCs w:val="28"/>
          <w:lang w:val="en-US" w:eastAsia="zh-CN" w:bidi="ar-SA"/>
        </w:rPr>
        <w:t>系统的稳定，提高无故障运行时段，减少了故障发生次数，</w:t>
      </w:r>
      <w:r>
        <w:rPr>
          <w:rFonts w:hint="eastAsia" w:cs="仿宋"/>
          <w:color w:val="auto"/>
          <w:spacing w:val="23"/>
          <w:kern w:val="2"/>
          <w:sz w:val="28"/>
          <w:szCs w:val="28"/>
          <w:lang w:val="en-US" w:eastAsia="zh-CN" w:bidi="ar-SA"/>
        </w:rPr>
        <w:t>节约了公共资源，有效改善</w:t>
      </w:r>
      <w:r>
        <w:rPr>
          <w:rFonts w:hint="eastAsia" w:ascii="仿宋" w:hAnsi="仿宋" w:eastAsia="仿宋" w:cs="仿宋"/>
          <w:color w:val="auto"/>
          <w:spacing w:val="23"/>
          <w:kern w:val="2"/>
          <w:sz w:val="28"/>
          <w:szCs w:val="28"/>
          <w:lang w:val="en-US" w:eastAsia="zh-CN" w:bidi="ar-SA"/>
        </w:rPr>
        <w:t>了</w:t>
      </w:r>
      <w:r>
        <w:rPr>
          <w:rFonts w:hint="eastAsia" w:cs="仿宋"/>
          <w:color w:val="auto"/>
          <w:spacing w:val="23"/>
          <w:kern w:val="2"/>
          <w:sz w:val="28"/>
          <w:szCs w:val="28"/>
          <w:lang w:val="en-US" w:eastAsia="zh-CN" w:bidi="ar-SA"/>
        </w:rPr>
        <w:t>软</w:t>
      </w:r>
      <w:r>
        <w:rPr>
          <w:rFonts w:hint="eastAsia" w:ascii="仿宋" w:hAnsi="仿宋" w:eastAsia="仿宋" w:cs="仿宋"/>
          <w:color w:val="auto"/>
          <w:spacing w:val="23"/>
          <w:kern w:val="2"/>
          <w:sz w:val="28"/>
          <w:szCs w:val="28"/>
          <w:lang w:val="en-US" w:eastAsia="zh-CN" w:bidi="ar-SA"/>
        </w:rPr>
        <w:t>硬件运行环境，保障了</w:t>
      </w:r>
      <w:r>
        <w:rPr>
          <w:rFonts w:hint="eastAsia" w:cs="仿宋"/>
          <w:color w:val="auto"/>
          <w:spacing w:val="23"/>
          <w:kern w:val="2"/>
          <w:sz w:val="28"/>
          <w:szCs w:val="28"/>
          <w:lang w:val="en-US" w:eastAsia="zh-CN" w:bidi="ar-SA"/>
        </w:rPr>
        <w:t>全院工作</w:t>
      </w:r>
      <w:r>
        <w:rPr>
          <w:rFonts w:hint="eastAsia" w:ascii="仿宋" w:hAnsi="仿宋" w:eastAsia="仿宋" w:cs="仿宋"/>
          <w:color w:val="auto"/>
          <w:spacing w:val="23"/>
          <w:kern w:val="2"/>
          <w:sz w:val="28"/>
          <w:szCs w:val="28"/>
          <w:lang w:val="en-US" w:eastAsia="zh-CN" w:bidi="ar-SA"/>
        </w:rPr>
        <w:t>正常运行。</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通过社科院人才引进及职称评审项目”的实施，</w:t>
      </w:r>
      <w:r>
        <w:rPr>
          <w:rFonts w:hint="eastAsia" w:cs="仿宋"/>
          <w:color w:val="auto"/>
          <w:spacing w:val="23"/>
          <w:kern w:val="2"/>
          <w:sz w:val="28"/>
          <w:szCs w:val="28"/>
          <w:lang w:val="en-US" w:eastAsia="zh-CN" w:bidi="ar-SA"/>
        </w:rPr>
        <w:t>人才引进工作</w:t>
      </w:r>
      <w:r>
        <w:rPr>
          <w:rFonts w:hint="eastAsia" w:ascii="仿宋" w:hAnsi="仿宋" w:eastAsia="仿宋" w:cs="仿宋"/>
          <w:color w:val="auto"/>
          <w:spacing w:val="23"/>
          <w:kern w:val="2"/>
          <w:sz w:val="28"/>
          <w:szCs w:val="28"/>
          <w:lang w:val="en-US" w:eastAsia="zh-CN" w:bidi="ar-SA"/>
        </w:rPr>
        <w:t>提高了</w:t>
      </w:r>
      <w:r>
        <w:rPr>
          <w:rFonts w:hint="eastAsia" w:cs="仿宋"/>
          <w:color w:val="auto"/>
          <w:spacing w:val="23"/>
          <w:kern w:val="2"/>
          <w:sz w:val="28"/>
          <w:szCs w:val="28"/>
          <w:lang w:val="en-US" w:eastAsia="zh-CN" w:bidi="ar-SA"/>
        </w:rPr>
        <w:t>院</w:t>
      </w:r>
      <w:r>
        <w:rPr>
          <w:rFonts w:hint="eastAsia" w:ascii="仿宋" w:hAnsi="仿宋" w:eastAsia="仿宋" w:cs="仿宋"/>
          <w:color w:val="auto"/>
          <w:spacing w:val="23"/>
          <w:kern w:val="2"/>
          <w:sz w:val="28"/>
          <w:szCs w:val="28"/>
          <w:lang w:val="en-US" w:eastAsia="zh-CN" w:bidi="ar-SA"/>
        </w:rPr>
        <w:t>人才队伍质量，改善了科研团队结构，可不断提升科研学术能力及科研成果质量；</w:t>
      </w:r>
      <w:r>
        <w:rPr>
          <w:rFonts w:hint="eastAsia" w:cs="仿宋"/>
          <w:color w:val="auto"/>
          <w:spacing w:val="23"/>
          <w:kern w:val="2"/>
          <w:sz w:val="28"/>
          <w:szCs w:val="28"/>
          <w:lang w:val="en-US" w:eastAsia="zh-CN" w:bidi="ar-SA"/>
        </w:rPr>
        <w:t>社会化职称评审工作</w:t>
      </w:r>
      <w:r>
        <w:rPr>
          <w:rFonts w:hint="eastAsia" w:ascii="仿宋" w:hAnsi="仿宋" w:eastAsia="仿宋" w:cs="仿宋"/>
          <w:color w:val="auto"/>
          <w:spacing w:val="23"/>
          <w:kern w:val="2"/>
          <w:sz w:val="28"/>
          <w:szCs w:val="28"/>
          <w:lang w:val="en-US" w:eastAsia="zh-CN" w:bidi="ar-SA"/>
        </w:rPr>
        <w:t>为社会培养了优秀人才，建设市社科人才储备库，不断提升社会影响力。</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spacing w:val="23"/>
          <w:kern w:val="2"/>
          <w:sz w:val="28"/>
          <w:szCs w:val="28"/>
          <w:lang w:val="en-US" w:eastAsia="zh-CN" w:bidi="ar-SA"/>
        </w:rPr>
        <w:t>通过开展</w:t>
      </w:r>
      <w:r>
        <w:rPr>
          <w:rFonts w:hint="eastAsia" w:cs="仿宋"/>
          <w:color w:val="auto"/>
          <w:spacing w:val="23"/>
          <w:kern w:val="2"/>
          <w:sz w:val="28"/>
          <w:szCs w:val="28"/>
          <w:lang w:val="en-US" w:eastAsia="zh-CN" w:bidi="ar-SA"/>
        </w:rPr>
        <w:t>资产清理、立项评审、</w:t>
      </w:r>
      <w:r>
        <w:rPr>
          <w:rFonts w:hint="eastAsia" w:ascii="仿宋" w:hAnsi="仿宋" w:eastAsia="仿宋" w:cs="仿宋"/>
          <w:color w:val="auto"/>
          <w:spacing w:val="23"/>
          <w:kern w:val="2"/>
          <w:sz w:val="28"/>
          <w:szCs w:val="28"/>
          <w:lang w:val="en-US" w:eastAsia="zh-CN" w:bidi="ar-SA"/>
        </w:rPr>
        <w:t>内部审计</w:t>
      </w:r>
      <w:r>
        <w:rPr>
          <w:rFonts w:hint="eastAsia" w:cs="仿宋"/>
          <w:color w:val="auto"/>
          <w:spacing w:val="23"/>
          <w:kern w:val="2"/>
          <w:sz w:val="28"/>
          <w:szCs w:val="28"/>
          <w:lang w:val="en-US" w:eastAsia="zh-CN" w:bidi="ar-SA"/>
        </w:rPr>
        <w:t>等其他项目</w:t>
      </w:r>
      <w:r>
        <w:rPr>
          <w:rFonts w:hint="eastAsia" w:ascii="仿宋" w:hAnsi="仿宋" w:eastAsia="仿宋" w:cs="仿宋"/>
          <w:color w:val="auto"/>
          <w:spacing w:val="23"/>
          <w:kern w:val="2"/>
          <w:sz w:val="28"/>
          <w:szCs w:val="28"/>
          <w:lang w:val="en-US" w:eastAsia="zh-CN" w:bidi="ar-SA"/>
        </w:rPr>
        <w:t>，对年度</w:t>
      </w:r>
      <w:r>
        <w:rPr>
          <w:rFonts w:hint="eastAsia" w:cs="仿宋"/>
          <w:color w:val="auto"/>
          <w:spacing w:val="23"/>
          <w:kern w:val="2"/>
          <w:sz w:val="28"/>
          <w:szCs w:val="28"/>
          <w:lang w:val="en-US" w:eastAsia="zh-CN" w:bidi="ar-SA"/>
        </w:rPr>
        <w:t>、资产管理、财政立项、</w:t>
      </w:r>
      <w:r>
        <w:rPr>
          <w:rFonts w:hint="eastAsia" w:ascii="仿宋" w:hAnsi="仿宋" w:eastAsia="仿宋" w:cs="仿宋"/>
          <w:color w:val="auto"/>
          <w:spacing w:val="23"/>
          <w:kern w:val="2"/>
          <w:sz w:val="28"/>
          <w:szCs w:val="28"/>
          <w:lang w:val="en-US" w:eastAsia="zh-CN" w:bidi="ar-SA"/>
        </w:rPr>
        <w:t>预算</w:t>
      </w:r>
      <w:r>
        <w:rPr>
          <w:rFonts w:hint="eastAsia" w:cs="仿宋"/>
          <w:color w:val="auto"/>
          <w:spacing w:val="23"/>
          <w:kern w:val="2"/>
          <w:sz w:val="28"/>
          <w:szCs w:val="28"/>
          <w:lang w:val="en-US" w:eastAsia="zh-CN" w:bidi="ar-SA"/>
        </w:rPr>
        <w:t>收</w:t>
      </w:r>
      <w:r>
        <w:rPr>
          <w:rFonts w:hint="eastAsia" w:ascii="仿宋" w:hAnsi="仿宋" w:eastAsia="仿宋" w:cs="仿宋"/>
          <w:color w:val="auto"/>
          <w:spacing w:val="23"/>
          <w:kern w:val="2"/>
          <w:sz w:val="28"/>
          <w:szCs w:val="28"/>
          <w:lang w:val="en-US" w:eastAsia="zh-CN" w:bidi="ar-SA"/>
        </w:rPr>
        <w:t>支审计，从制度机制上分析问题、查找原因，提出有针对性、可操作性的审计建议，促进规范预算</w:t>
      </w:r>
      <w:r>
        <w:rPr>
          <w:rFonts w:hint="eastAsia" w:cs="仿宋"/>
          <w:color w:val="auto"/>
          <w:spacing w:val="23"/>
          <w:kern w:val="2"/>
          <w:sz w:val="28"/>
          <w:szCs w:val="28"/>
          <w:lang w:val="en-US" w:eastAsia="zh-CN" w:bidi="ar-SA"/>
        </w:rPr>
        <w:t>管理、财务</w:t>
      </w:r>
      <w:r>
        <w:rPr>
          <w:rFonts w:hint="eastAsia" w:ascii="仿宋" w:hAnsi="仿宋" w:eastAsia="仿宋" w:cs="仿宋"/>
          <w:color w:val="auto"/>
          <w:spacing w:val="23"/>
          <w:kern w:val="2"/>
          <w:sz w:val="28"/>
          <w:szCs w:val="28"/>
          <w:lang w:val="en-US" w:eastAsia="zh-CN" w:bidi="ar-SA"/>
        </w:rPr>
        <w:t>管理</w:t>
      </w:r>
      <w:r>
        <w:rPr>
          <w:rFonts w:hint="eastAsia" w:cs="仿宋"/>
          <w:color w:val="auto"/>
          <w:spacing w:val="23"/>
          <w:kern w:val="2"/>
          <w:sz w:val="28"/>
          <w:szCs w:val="28"/>
          <w:lang w:val="en-US" w:eastAsia="zh-CN" w:bidi="ar-SA"/>
        </w:rPr>
        <w:t>及</w:t>
      </w:r>
      <w:r>
        <w:rPr>
          <w:rFonts w:hint="eastAsia" w:ascii="仿宋" w:hAnsi="仿宋" w:eastAsia="仿宋" w:cs="仿宋"/>
          <w:color w:val="auto"/>
          <w:spacing w:val="23"/>
          <w:kern w:val="2"/>
          <w:sz w:val="28"/>
          <w:szCs w:val="28"/>
          <w:lang w:val="en-US" w:eastAsia="zh-CN" w:bidi="ar-SA"/>
        </w:rPr>
        <w:t>资产管理等，确保各项资金管理规范，使用合法合规，保障财政资金安全高效使用。</w:t>
      </w:r>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7" w:name="_Toc30181"/>
      <w:r>
        <w:rPr>
          <w:rFonts w:hint="eastAsia" w:ascii="仿宋" w:hAnsi="仿宋" w:eastAsia="仿宋" w:cs="仿宋"/>
        </w:rPr>
        <w:t>3.服务对象满意度</w:t>
      </w:r>
      <w:bookmarkEnd w:id="57"/>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lang w:eastAsia="zh-CN"/>
        </w:rPr>
        <w:t>一</w:t>
      </w:r>
      <w:r>
        <w:rPr>
          <w:rFonts w:hint="eastAsia" w:ascii="仿宋" w:hAnsi="仿宋" w:eastAsia="仿宋" w:cs="仿宋"/>
          <w:color w:val="auto"/>
        </w:rPr>
        <w:t>年来，在市委宣传部正确领导下，市社科院坚持以习近平新时代中国特色社会主义思想为指导，认真落实全市宣传思想文化工作安排，主题教育扎实开展，党的创新理论研究阐释有质有量，科研管理和智库建设深化推进，决策咨询能力水平不断提升，重大主题宣传宣讲创新推进，各类意识形态阵地可管可控，全面从严治党持续发力，为繁荣首都哲学社会科学事业作出新贡献。部门整体和项目均在绩效目标申报表中设置了“服务对象满意度”指标及指标值，相关项目工作成果得到了较好地反馈，项目的服务对象满意程度均值达96.8%。</w:t>
      </w:r>
    </w:p>
    <w:bookmarkEnd w:id="46"/>
    <w:bookmarkEnd w:id="47"/>
    <w:bookmarkEnd w:id="48"/>
    <w:bookmarkEnd w:id="49"/>
    <w:p>
      <w:pPr>
        <w:pStyle w:val="2"/>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58" w:name="_Toc103693089"/>
      <w:bookmarkStart w:id="59" w:name="_Toc17865"/>
      <w:bookmarkStart w:id="60" w:name="_Toc29634"/>
      <w:bookmarkStart w:id="61" w:name="_Toc24801"/>
      <w:bookmarkStart w:id="62" w:name="_Toc15521"/>
      <w:r>
        <w:rPr>
          <w:rFonts w:hint="eastAsia" w:ascii="仿宋" w:hAnsi="仿宋" w:eastAsia="仿宋" w:cs="仿宋"/>
        </w:rPr>
        <w:t>四、预算管理情况分析</w:t>
      </w:r>
      <w:bookmarkEnd w:id="58"/>
      <w:bookmarkEnd w:id="59"/>
      <w:bookmarkEnd w:id="60"/>
      <w:bookmarkEnd w:id="61"/>
      <w:bookmarkEnd w:id="62"/>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63" w:name="_Toc21911"/>
      <w:bookmarkStart w:id="64" w:name="_Toc31819"/>
      <w:bookmarkStart w:id="65" w:name="_Toc25264"/>
      <w:bookmarkStart w:id="66" w:name="_Toc22018"/>
      <w:bookmarkStart w:id="67" w:name="_Toc103693090"/>
      <w:r>
        <w:rPr>
          <w:rFonts w:hint="eastAsia" w:ascii="仿宋" w:hAnsi="仿宋" w:eastAsia="仿宋" w:cs="仿宋"/>
        </w:rPr>
        <w:t>（一）财务管理</w:t>
      </w:r>
      <w:bookmarkEnd w:id="63"/>
      <w:bookmarkEnd w:id="64"/>
      <w:bookmarkEnd w:id="65"/>
      <w:bookmarkEnd w:id="66"/>
      <w:bookmarkEnd w:id="67"/>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68" w:name="_Toc13127"/>
      <w:bookmarkStart w:id="69" w:name="_Toc103693091"/>
      <w:bookmarkStart w:id="70" w:name="_Toc4068"/>
      <w:bookmarkStart w:id="71" w:name="_Toc29371"/>
      <w:bookmarkStart w:id="72" w:name="_Toc3"/>
      <w:r>
        <w:rPr>
          <w:rFonts w:hint="eastAsia" w:ascii="仿宋" w:hAnsi="仿宋" w:eastAsia="仿宋" w:cs="仿宋"/>
        </w:rPr>
        <w:t>1.财务管理制度健全性</w:t>
      </w:r>
      <w:bookmarkEnd w:id="68"/>
      <w:bookmarkEnd w:id="69"/>
      <w:bookmarkEnd w:id="70"/>
      <w:bookmarkEnd w:id="71"/>
      <w:bookmarkEnd w:id="72"/>
      <w:r>
        <w:rPr>
          <w:rFonts w:ascii="微软雅黑" w:hAnsi="微软雅黑" w:eastAsia="微软雅黑" w:cs="微软雅黑"/>
          <w:i w:val="0"/>
          <w:iCs w:val="0"/>
          <w:caps w:val="0"/>
          <w:color w:val="4C4F53"/>
          <w:spacing w:val="0"/>
          <w:sz w:val="21"/>
          <w:szCs w:val="21"/>
          <w:shd w:val="clear" w:fill="FFFFFF"/>
        </w:rPr>
        <w:t> </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rPr>
      </w:pPr>
      <w:r>
        <w:rPr>
          <w:rFonts w:hint="eastAsia" w:ascii="仿宋" w:hAnsi="仿宋" w:eastAsia="仿宋" w:cs="仿宋"/>
          <w:color w:val="auto"/>
        </w:rPr>
        <w:t>制定了《北京市社会科学院财政性项目经费使用管理办法（试行）》</w:t>
      </w:r>
      <w:r>
        <w:rPr>
          <w:rFonts w:hint="eastAsia" w:cs="仿宋"/>
          <w:color w:val="auto"/>
          <w:lang w:eastAsia="zh-CN"/>
        </w:rPr>
        <w:t>、</w:t>
      </w:r>
      <w:r>
        <w:rPr>
          <w:rFonts w:hint="eastAsia" w:ascii="仿宋" w:hAnsi="仿宋" w:eastAsia="仿宋" w:cs="仿宋"/>
          <w:color w:val="auto"/>
        </w:rPr>
        <w:t>《北京市社会科学院预算管理办法（试行）》</w:t>
      </w:r>
      <w:r>
        <w:rPr>
          <w:rFonts w:hint="eastAsia" w:cs="仿宋"/>
          <w:color w:val="auto"/>
          <w:lang w:eastAsia="zh-CN"/>
        </w:rPr>
        <w:t>等多项财务管理制度，并于</w:t>
      </w:r>
      <w:r>
        <w:rPr>
          <w:rFonts w:hint="eastAsia" w:cs="仿宋"/>
          <w:color w:val="auto"/>
          <w:lang w:val="en-US" w:eastAsia="zh-CN"/>
        </w:rPr>
        <w:t>2023年更新了</w:t>
      </w:r>
      <w:r>
        <w:rPr>
          <w:rFonts w:hint="eastAsia" w:ascii="仿宋" w:hAnsi="仿宋" w:eastAsia="仿宋" w:cs="仿宋"/>
          <w:color w:val="auto"/>
          <w:lang w:eastAsia="zh-CN"/>
        </w:rPr>
        <w:t>《</w:t>
      </w:r>
      <w:r>
        <w:rPr>
          <w:rFonts w:hint="eastAsia" w:ascii="仿宋" w:hAnsi="仿宋" w:eastAsia="仿宋" w:cs="仿宋"/>
          <w:color w:val="auto"/>
        </w:rPr>
        <w:t>北京市社会科学院财务报销管理办法</w:t>
      </w:r>
      <w:r>
        <w:rPr>
          <w:rFonts w:hint="eastAsia" w:ascii="仿宋" w:hAnsi="仿宋" w:eastAsia="仿宋" w:cs="仿宋"/>
          <w:color w:val="auto"/>
          <w:lang w:eastAsia="zh-CN"/>
        </w:rPr>
        <w:t>》</w:t>
      </w:r>
      <w:r>
        <w:rPr>
          <w:rFonts w:hint="eastAsia" w:cs="仿宋"/>
          <w:color w:val="auto"/>
          <w:lang w:eastAsia="zh-CN"/>
        </w:rPr>
        <w:t>。现行各项</w:t>
      </w:r>
      <w:r>
        <w:rPr>
          <w:rFonts w:hint="eastAsia" w:ascii="仿宋" w:hAnsi="仿宋" w:eastAsia="仿宋" w:cs="仿宋"/>
          <w:color w:val="auto"/>
        </w:rPr>
        <w:t>制度，机制健全、</w:t>
      </w:r>
      <w:r>
        <w:rPr>
          <w:rFonts w:hint="eastAsia" w:cs="仿宋"/>
          <w:color w:val="auto"/>
          <w:lang w:eastAsia="zh-CN"/>
        </w:rPr>
        <w:t>制度合规，</w:t>
      </w:r>
      <w:r>
        <w:rPr>
          <w:rFonts w:hint="eastAsia" w:ascii="仿宋" w:hAnsi="仿宋" w:eastAsia="仿宋" w:cs="仿宋"/>
          <w:color w:val="auto"/>
        </w:rPr>
        <w:t>覆盖</w:t>
      </w:r>
      <w:r>
        <w:rPr>
          <w:rFonts w:hint="eastAsia" w:cs="仿宋"/>
          <w:color w:val="auto"/>
          <w:lang w:eastAsia="zh-CN"/>
        </w:rPr>
        <w:t>财务、资产、“三重一大”等多个方面并得到有效执行</w:t>
      </w:r>
      <w:r>
        <w:rPr>
          <w:rFonts w:hint="eastAsia" w:ascii="仿宋" w:hAnsi="仿宋" w:eastAsia="仿宋" w:cs="仿宋"/>
          <w:color w:val="auto"/>
        </w:rPr>
        <w:t>，确保了内部控制和监督</w:t>
      </w:r>
      <w:r>
        <w:rPr>
          <w:rFonts w:hint="eastAsia" w:cs="仿宋"/>
          <w:color w:val="auto"/>
          <w:lang w:eastAsia="zh-CN"/>
        </w:rPr>
        <w:t>的</w:t>
      </w:r>
      <w:r>
        <w:rPr>
          <w:rFonts w:hint="eastAsia" w:ascii="仿宋" w:hAnsi="仿宋" w:eastAsia="仿宋" w:cs="仿宋"/>
          <w:color w:val="auto"/>
        </w:rPr>
        <w:t>有效</w:t>
      </w:r>
      <w:r>
        <w:rPr>
          <w:rFonts w:hint="eastAsia" w:cs="仿宋"/>
          <w:color w:val="auto"/>
          <w:lang w:eastAsia="zh-CN"/>
        </w:rPr>
        <w:t>性</w:t>
      </w:r>
      <w:r>
        <w:rPr>
          <w:rFonts w:hint="eastAsia" w:ascii="仿宋" w:hAnsi="仿宋" w:eastAsia="仿宋" w:cs="仿宋"/>
          <w:color w:val="auto"/>
        </w:rPr>
        <w:t>。</w:t>
      </w:r>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73" w:name="_Toc24935"/>
      <w:bookmarkStart w:id="74" w:name="_Toc2577"/>
      <w:bookmarkStart w:id="75" w:name="_Toc103693092"/>
      <w:bookmarkStart w:id="76" w:name="_Toc20763"/>
      <w:bookmarkStart w:id="77" w:name="_Toc11108"/>
      <w:r>
        <w:rPr>
          <w:rFonts w:hint="eastAsia" w:ascii="仿宋" w:hAnsi="仿宋" w:eastAsia="仿宋" w:cs="仿宋"/>
        </w:rPr>
        <w:t>2.资金使用合规性和安全性</w:t>
      </w:r>
      <w:bookmarkEnd w:id="73"/>
      <w:bookmarkEnd w:id="74"/>
      <w:bookmarkEnd w:id="75"/>
      <w:bookmarkEnd w:id="76"/>
      <w:bookmarkEnd w:id="77"/>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财政资金执行过程中遵循合理安排、讲求实效的原则，力求做到当年拨款，当年使用，发挥其经济效益和社会效益，避免资金闲置或浪费；在内部控制方面，严格履行资金审批程序，做到有据可查、有章可循，严格执行“三重一大”管理制度，不存在截留、挤占、挪用情况，保障财政资金的安全和正确使用。</w:t>
      </w:r>
    </w:p>
    <w:p>
      <w:pPr>
        <w:pStyle w:val="4"/>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78" w:name="_Toc4308"/>
      <w:bookmarkStart w:id="79" w:name="_Toc11231"/>
      <w:bookmarkStart w:id="80" w:name="_Toc20905"/>
      <w:bookmarkStart w:id="81" w:name="_Toc5641"/>
      <w:bookmarkStart w:id="82" w:name="_Toc103693093"/>
      <w:r>
        <w:rPr>
          <w:rFonts w:hint="eastAsia" w:ascii="仿宋" w:hAnsi="仿宋" w:eastAsia="仿宋" w:cs="仿宋"/>
        </w:rPr>
        <w:t>3.会计基础信息完善性</w:t>
      </w:r>
      <w:bookmarkEnd w:id="78"/>
      <w:bookmarkEnd w:id="79"/>
      <w:bookmarkEnd w:id="80"/>
      <w:bookmarkEnd w:id="81"/>
      <w:bookmarkEnd w:id="82"/>
    </w:p>
    <w:p>
      <w:pPr>
        <w:pageBreakBefore w:val="0"/>
        <w:kinsoku/>
        <w:overflowPunct/>
        <w:topLinePunct w:val="0"/>
        <w:autoSpaceDE/>
        <w:autoSpaceDN/>
        <w:bidi w:val="0"/>
        <w:adjustRightInd/>
        <w:snapToGrid/>
        <w:spacing w:before="101" w:line="540" w:lineRule="exact"/>
        <w:ind w:right="11"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严格遵守国家财经法规和</w:t>
      </w:r>
      <w:r>
        <w:rPr>
          <w:rFonts w:hint="eastAsia" w:ascii="仿宋" w:hAnsi="仿宋" w:eastAsia="仿宋" w:cs="仿宋"/>
          <w:spacing w:val="23"/>
          <w:sz w:val="28"/>
          <w:szCs w:val="28"/>
          <w:lang w:eastAsia="zh-CN"/>
        </w:rPr>
        <w:t>财务</w:t>
      </w:r>
      <w:r>
        <w:rPr>
          <w:rFonts w:hint="eastAsia" w:ascii="仿宋" w:hAnsi="仿宋" w:eastAsia="仿宋" w:cs="仿宋"/>
          <w:spacing w:val="23"/>
          <w:sz w:val="28"/>
          <w:szCs w:val="28"/>
        </w:rPr>
        <w:t>制度，确保了会计信息的真实性和准确性。各项会计记录详尽、完整，能够全面、清晰地反映单位的财务状况和预算执行情况。严格按照政府会计制度完善会计工作，加强对预算、财务、采购及管理等专业知识的学习，及时掌握新规定，确保基础数据信息和会计信息资料真实、准确。</w:t>
      </w:r>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83" w:name="_Toc30311"/>
      <w:bookmarkStart w:id="84" w:name="_Toc4369"/>
      <w:bookmarkStart w:id="85" w:name="_Toc23273"/>
      <w:bookmarkStart w:id="86" w:name="_Toc18603"/>
      <w:bookmarkStart w:id="87" w:name="_Toc103693094"/>
      <w:r>
        <w:rPr>
          <w:rFonts w:hint="eastAsia" w:ascii="仿宋" w:hAnsi="仿宋" w:eastAsia="仿宋" w:cs="仿宋"/>
        </w:rPr>
        <w:t>（二）资产管理</w:t>
      </w:r>
      <w:bookmarkEnd w:id="83"/>
      <w:bookmarkEnd w:id="84"/>
      <w:bookmarkEnd w:id="85"/>
      <w:bookmarkEnd w:id="86"/>
      <w:bookmarkEnd w:id="87"/>
    </w:p>
    <w:p>
      <w:pPr>
        <w:pageBreakBefore w:val="0"/>
        <w:kinsoku/>
        <w:overflowPunct/>
        <w:topLinePunct w:val="0"/>
        <w:autoSpaceDE/>
        <w:autoSpaceDN/>
        <w:bidi w:val="0"/>
        <w:adjustRightInd/>
        <w:snapToGrid/>
        <w:spacing w:before="101" w:line="540" w:lineRule="exact"/>
        <w:ind w:right="11"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严格执行北京市有关资产管理的各项规定，围绕市社科院履职工作特点和需要，以落实资产管理主体责任制为抓手，以强化资产的日常管理为出发点和落脚点，按照《北京市社会科学院固定资产管理暂行办法》，扎实落实资产管理工作。</w:t>
      </w:r>
    </w:p>
    <w:p>
      <w:pPr>
        <w:pageBreakBefore w:val="0"/>
        <w:kinsoku/>
        <w:overflowPunct/>
        <w:topLinePunct w:val="0"/>
        <w:autoSpaceDE/>
        <w:autoSpaceDN/>
        <w:bidi w:val="0"/>
        <w:adjustRightInd/>
        <w:snapToGrid/>
        <w:spacing w:before="101" w:line="540" w:lineRule="exact"/>
        <w:ind w:right="11"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截至2023年12月31日，市社科院资产总额为9,518.70万元，其中流动资产6,638.48万元，非流动资产2,880.22万元。2022年末固定资产6790项，账面原值7,261.52万元，较年初固定资产原值 7,239.43万元，降低0.31%。2023年度，市社科院无对外投资行为，资产保持安全完整，资产配置较合理，资产使用规范，不存在未经批准擅自出租、出借行为；资产处置规范，不存在不按要求进行报批或资产不公开处置行为。</w:t>
      </w:r>
    </w:p>
    <w:p>
      <w:pPr>
        <w:pageBreakBefore w:val="0"/>
        <w:kinsoku/>
        <w:overflowPunct/>
        <w:topLinePunct w:val="0"/>
        <w:autoSpaceDE/>
        <w:autoSpaceDN/>
        <w:bidi w:val="0"/>
        <w:adjustRightInd/>
        <w:snapToGrid/>
        <w:spacing w:before="101" w:line="540" w:lineRule="exact"/>
        <w:ind w:right="11"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1.资产使用方面：对于市社科院的资产使用按照台账严格管理，对于申领资产需求严格把关。</w:t>
      </w:r>
    </w:p>
    <w:p>
      <w:pPr>
        <w:pageBreakBefore w:val="0"/>
        <w:kinsoku/>
        <w:overflowPunct/>
        <w:topLinePunct w:val="0"/>
        <w:autoSpaceDE/>
        <w:autoSpaceDN/>
        <w:bidi w:val="0"/>
        <w:adjustRightInd/>
        <w:snapToGrid/>
        <w:spacing w:before="101" w:line="540" w:lineRule="exact"/>
        <w:ind w:right="11"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2.资产处置方面：2023年市社科院处置固定资产1,382,213.18元，按照北京市市级行政事业单位资产处置审批的要求完成资产处置申报审核工作。</w:t>
      </w:r>
    </w:p>
    <w:p>
      <w:pPr>
        <w:pageBreakBefore w:val="0"/>
        <w:kinsoku/>
        <w:overflowPunct/>
        <w:topLinePunct w:val="0"/>
        <w:autoSpaceDE/>
        <w:autoSpaceDN/>
        <w:bidi w:val="0"/>
        <w:adjustRightInd/>
        <w:snapToGrid/>
        <w:spacing w:before="101" w:line="540" w:lineRule="exact"/>
        <w:ind w:right="11"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3.资产管理方面：市社科院的资产账与资产动态库保持一致，同步办理资产增减变化。</w:t>
      </w:r>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88" w:name="_Toc6635"/>
      <w:bookmarkStart w:id="89" w:name="_Toc19454"/>
      <w:bookmarkStart w:id="90" w:name="_Toc25108"/>
      <w:bookmarkStart w:id="91" w:name="_Toc103693095"/>
      <w:bookmarkStart w:id="92" w:name="_Toc4"/>
      <w:r>
        <w:rPr>
          <w:rFonts w:hint="eastAsia" w:ascii="仿宋" w:hAnsi="仿宋" w:eastAsia="仿宋" w:cs="仿宋"/>
        </w:rPr>
        <w:t>（三）绩效管理</w:t>
      </w:r>
      <w:bookmarkEnd w:id="88"/>
      <w:bookmarkEnd w:id="89"/>
      <w:bookmarkEnd w:id="90"/>
      <w:bookmarkEnd w:id="91"/>
      <w:bookmarkEnd w:id="92"/>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市社科院在院党组领导下，建立了由财务处牵头、办公室督办、机关纪委全程监督、其他业务处室积极协同的工作机制，规范了工作程序，明确了分阶段工作任务，强化了预算绩效在预算编制、执行中的全过程管理。</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按照年度绩效评价工作要求，市社科院对2023年完成的21个项目进行了自评，其中：20个项目采用简易自评，填报了项目支出绩效自评表，选取了“百姓宣讲活动”为重点项目做一般评价，组织专家进行评价，业务、财务和管理等5位专家对项目执行资料进行了全面审查，并出具了专家意见。市社科院根据评价</w:t>
      </w:r>
      <w:r>
        <w:rPr>
          <w:rFonts w:hint="eastAsia" w:cs="仿宋"/>
          <w:color w:val="auto"/>
          <w:lang w:eastAsia="zh-CN"/>
        </w:rPr>
        <w:t>结果</w:t>
      </w:r>
      <w:r>
        <w:rPr>
          <w:rFonts w:hint="eastAsia" w:ascii="仿宋" w:hAnsi="仿宋" w:eastAsia="仿宋" w:cs="仿宋"/>
          <w:color w:val="auto"/>
        </w:rPr>
        <w:t>和专家意见，查找了项目执行和管理中的不足、明确了改进方向、完善了各项制度。</w:t>
      </w:r>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93" w:name="_Toc2543"/>
      <w:bookmarkStart w:id="94" w:name="_Toc14311"/>
      <w:bookmarkStart w:id="95" w:name="_Toc28410"/>
      <w:bookmarkStart w:id="96" w:name="_Toc10002"/>
      <w:bookmarkStart w:id="97" w:name="_Toc24336"/>
      <w:bookmarkStart w:id="98" w:name="_Toc103693097"/>
      <w:bookmarkStart w:id="99" w:name="_Toc22231"/>
      <w:r>
        <w:rPr>
          <w:rFonts w:hint="eastAsia" w:ascii="仿宋" w:hAnsi="仿宋" w:eastAsia="仿宋" w:cs="仿宋"/>
        </w:rPr>
        <w:t>（四）结转结余率</w:t>
      </w:r>
      <w:bookmarkEnd w:id="93"/>
      <w:bookmarkEnd w:id="94"/>
      <w:bookmarkEnd w:id="95"/>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2023年预算年末结转结余总额 4,820.48599万元，全</w:t>
      </w:r>
      <w:bookmarkStart w:id="123" w:name="_GoBack"/>
      <w:bookmarkEnd w:id="123"/>
      <w:r>
        <w:rPr>
          <w:rFonts w:hint="eastAsia" w:ascii="仿宋" w:hAnsi="仿宋" w:eastAsia="仿宋" w:cs="仿宋"/>
          <w:color w:val="auto"/>
        </w:rPr>
        <w:t>年预算支出21,650.248869万元，结转结余率为22.27%，较2022年结转结余率26.76%，降低了4.49个百分点。</w:t>
      </w:r>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100" w:name="_Toc26741"/>
      <w:r>
        <w:rPr>
          <w:rFonts w:hint="eastAsia" w:ascii="仿宋" w:hAnsi="仿宋" w:eastAsia="仿宋" w:cs="仿宋"/>
        </w:rPr>
        <w:t>（五）部门预决算差异率</w:t>
      </w:r>
      <w:bookmarkEnd w:id="96"/>
      <w:bookmarkEnd w:id="97"/>
      <w:bookmarkEnd w:id="98"/>
      <w:bookmarkEnd w:id="99"/>
      <w:bookmarkEnd w:id="100"/>
    </w:p>
    <w:p>
      <w:pPr>
        <w:pStyle w:val="8"/>
        <w:pageBreakBefore w:val="0"/>
        <w:kinsoku/>
        <w:overflowPunct/>
        <w:topLinePunct w:val="0"/>
        <w:autoSpaceDE/>
        <w:autoSpaceDN/>
        <w:bidi w:val="0"/>
        <w:adjustRightInd/>
        <w:snapToGrid/>
        <w:spacing w:line="540" w:lineRule="exact"/>
        <w:jc w:val="left"/>
        <w:textAlignment w:val="auto"/>
        <w:rPr>
          <w:rFonts w:hint="eastAsia" w:ascii="仿宋" w:hAnsi="仿宋" w:eastAsia="仿宋" w:cs="仿宋"/>
          <w:color w:val="auto"/>
        </w:rPr>
      </w:pPr>
      <w:r>
        <w:rPr>
          <w:rFonts w:hint="eastAsia" w:ascii="仿宋" w:hAnsi="仿宋" w:eastAsia="仿宋" w:cs="仿宋"/>
          <w:color w:val="auto"/>
        </w:rPr>
        <w:t>2023年年初预算批复17,622.919347万元，年度部门决算数16,829.762879万元，部门预决算差异率=（16,829.762879-17,622.919347）/17,622.919347=-4.50%，低于市级平均差异率28.3%。</w:t>
      </w:r>
    </w:p>
    <w:p>
      <w:pPr>
        <w:pStyle w:val="2"/>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101" w:name="_Toc17759"/>
      <w:bookmarkStart w:id="102" w:name="_Toc103693098"/>
      <w:bookmarkStart w:id="103" w:name="_Toc22702"/>
      <w:bookmarkStart w:id="104" w:name="_Toc16069"/>
      <w:bookmarkStart w:id="105" w:name="_Toc8038"/>
      <w:r>
        <w:rPr>
          <w:rFonts w:hint="eastAsia" w:ascii="仿宋" w:hAnsi="仿宋" w:eastAsia="仿宋" w:cs="仿宋"/>
        </w:rPr>
        <w:t>五、总体评价结论</w:t>
      </w:r>
      <w:bookmarkEnd w:id="101"/>
      <w:bookmarkEnd w:id="102"/>
      <w:bookmarkEnd w:id="103"/>
      <w:bookmarkEnd w:id="104"/>
      <w:bookmarkEnd w:id="105"/>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106" w:name="_Toc23973"/>
      <w:bookmarkStart w:id="107" w:name="_Toc6980"/>
      <w:bookmarkStart w:id="108" w:name="_Toc15680"/>
      <w:bookmarkStart w:id="109" w:name="_Toc103693099"/>
      <w:bookmarkStart w:id="110" w:name="_Toc7818"/>
      <w:r>
        <w:rPr>
          <w:rFonts w:hint="eastAsia" w:ascii="仿宋" w:hAnsi="仿宋" w:eastAsia="仿宋" w:cs="仿宋"/>
        </w:rPr>
        <w:t>（一）评价得分情况</w:t>
      </w:r>
      <w:bookmarkEnd w:id="106"/>
      <w:bookmarkEnd w:id="107"/>
      <w:bookmarkEnd w:id="108"/>
      <w:bookmarkEnd w:id="109"/>
      <w:bookmarkEnd w:id="110"/>
    </w:p>
    <w:p>
      <w:pPr>
        <w:pStyle w:val="8"/>
        <w:pageBreakBefore w:val="0"/>
        <w:kinsoku/>
        <w:overflowPunct/>
        <w:topLinePunct w:val="0"/>
        <w:autoSpaceDE/>
        <w:autoSpaceDN/>
        <w:bidi w:val="0"/>
        <w:adjustRightInd/>
        <w:snapToGrid/>
        <w:spacing w:line="540" w:lineRule="exact"/>
        <w:ind w:right="0"/>
        <w:textAlignment w:val="auto"/>
        <w:rPr>
          <w:rFonts w:hint="eastAsia" w:ascii="仿宋" w:hAnsi="仿宋" w:eastAsia="仿宋" w:cs="仿宋"/>
          <w:color w:val="auto"/>
        </w:rPr>
      </w:pPr>
      <w:r>
        <w:rPr>
          <w:rFonts w:hint="eastAsia" w:ascii="仿宋" w:hAnsi="仿宋" w:eastAsia="仿宋" w:cs="仿宋"/>
          <w:color w:val="auto"/>
        </w:rPr>
        <w:t>2023年度市社科院整体绩效评价得分96.20分，其中：当年预算执行19.10分，整体绩效目标实现情况57.1分，预算管理情况20分。</w:t>
      </w:r>
    </w:p>
    <w:p>
      <w:pPr>
        <w:pStyle w:val="3"/>
        <w:pageBreakBefore w:val="0"/>
        <w:kinsoku/>
        <w:overflowPunct/>
        <w:topLinePunct w:val="0"/>
        <w:autoSpaceDE/>
        <w:autoSpaceDN/>
        <w:bidi w:val="0"/>
        <w:adjustRightInd/>
        <w:snapToGrid/>
        <w:spacing w:line="540" w:lineRule="exact"/>
        <w:ind w:firstLine="643"/>
        <w:textAlignment w:val="auto"/>
        <w:rPr>
          <w:rFonts w:hint="eastAsia" w:ascii="仿宋" w:hAnsi="仿宋" w:eastAsia="仿宋" w:cs="仿宋"/>
        </w:rPr>
      </w:pPr>
      <w:bookmarkStart w:id="111" w:name="_Toc103693100"/>
      <w:bookmarkStart w:id="112" w:name="_Toc11492"/>
      <w:bookmarkStart w:id="113" w:name="_Toc28124"/>
      <w:bookmarkStart w:id="114" w:name="_Toc10673"/>
      <w:bookmarkStart w:id="115" w:name="_Toc28157"/>
      <w:r>
        <w:rPr>
          <w:rFonts w:hint="eastAsia" w:ascii="仿宋" w:hAnsi="仿宋" w:eastAsia="仿宋" w:cs="仿宋"/>
        </w:rPr>
        <w:t>（二）存在的问题及原因分析</w:t>
      </w:r>
      <w:bookmarkEnd w:id="111"/>
      <w:bookmarkEnd w:id="112"/>
      <w:bookmarkEnd w:id="113"/>
      <w:bookmarkEnd w:id="114"/>
      <w:bookmarkEnd w:id="115"/>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1.项目预算编制的准确性、科学性有待进一步提高</w:t>
      </w:r>
      <w:r>
        <w:rPr>
          <w:rFonts w:hint="eastAsia" w:cs="仿宋"/>
          <w:color w:val="auto"/>
          <w:lang w:eastAsia="zh-CN"/>
        </w:rPr>
        <w:t>。预算</w:t>
      </w:r>
      <w:r>
        <w:rPr>
          <w:rFonts w:hint="eastAsia" w:ascii="仿宋" w:hAnsi="仿宋" w:eastAsia="仿宋" w:cs="仿宋"/>
          <w:color w:val="auto"/>
        </w:rPr>
        <w:t>的测算</w:t>
      </w:r>
      <w:r>
        <w:rPr>
          <w:rFonts w:hint="eastAsia" w:cs="仿宋"/>
          <w:color w:val="auto"/>
          <w:lang w:eastAsia="zh-CN"/>
        </w:rPr>
        <w:t>不能仅依据</w:t>
      </w:r>
      <w:r>
        <w:rPr>
          <w:rFonts w:hint="eastAsia" w:ascii="仿宋" w:hAnsi="仿宋" w:eastAsia="仿宋" w:cs="仿宋"/>
          <w:color w:val="auto"/>
        </w:rPr>
        <w:t>历史合同</w:t>
      </w:r>
      <w:r>
        <w:rPr>
          <w:rFonts w:hint="eastAsia" w:cs="仿宋"/>
          <w:color w:val="auto"/>
          <w:lang w:eastAsia="zh-CN"/>
        </w:rPr>
        <w:t>数据</w:t>
      </w:r>
      <w:r>
        <w:rPr>
          <w:rFonts w:hint="eastAsia" w:ascii="仿宋" w:hAnsi="仿宋" w:eastAsia="仿宋" w:cs="仿宋"/>
          <w:color w:val="auto"/>
        </w:rPr>
        <w:t>，</w:t>
      </w:r>
      <w:r>
        <w:rPr>
          <w:rFonts w:hint="eastAsia" w:cs="仿宋"/>
          <w:color w:val="auto"/>
          <w:lang w:eastAsia="zh-CN"/>
        </w:rPr>
        <w:t>而应综合</w:t>
      </w:r>
      <w:r>
        <w:rPr>
          <w:rFonts w:hint="eastAsia" w:ascii="仿宋" w:hAnsi="仿宋" w:eastAsia="仿宋" w:cs="仿宋"/>
          <w:color w:val="auto"/>
        </w:rPr>
        <w:t>考虑内外部环境</w:t>
      </w:r>
      <w:r>
        <w:rPr>
          <w:rFonts w:hint="eastAsia" w:cs="仿宋"/>
          <w:color w:val="auto"/>
          <w:lang w:eastAsia="zh-CN"/>
        </w:rPr>
        <w:t>、市场价格以及政策等方面</w:t>
      </w:r>
      <w:r>
        <w:rPr>
          <w:rFonts w:hint="eastAsia" w:ascii="仿宋" w:hAnsi="仿宋" w:eastAsia="仿宋" w:cs="仿宋"/>
          <w:color w:val="auto"/>
        </w:rPr>
        <w:t>的变化。</w:t>
      </w:r>
    </w:p>
    <w:p>
      <w:pPr>
        <w:pStyle w:val="8"/>
        <w:pageBreakBefore w:val="0"/>
        <w:kinsoku/>
        <w:overflowPunct/>
        <w:topLinePunct w:val="0"/>
        <w:autoSpaceDE/>
        <w:autoSpaceDN/>
        <w:bidi w:val="0"/>
        <w:adjustRightInd/>
        <w:snapToGrid/>
        <w:spacing w:before="0" w:line="540" w:lineRule="exact"/>
        <w:ind w:right="0"/>
        <w:textAlignment w:val="auto"/>
        <w:rPr>
          <w:rFonts w:hint="eastAsia" w:ascii="仿宋" w:hAnsi="仿宋" w:eastAsia="仿宋" w:cs="仿宋"/>
          <w:color w:val="auto"/>
        </w:rPr>
      </w:pPr>
      <w:r>
        <w:rPr>
          <w:rFonts w:hint="eastAsia" w:ascii="仿宋" w:hAnsi="仿宋" w:eastAsia="仿宋" w:cs="仿宋"/>
          <w:color w:val="auto"/>
        </w:rPr>
        <w:t>2.绩效指标设置和填报的合理性、完整性仍需提高。对绩效指标的量化程度不够，个别项目所设置的指标为不易考核的定性指标，缺乏直观反映绩效目标完成情况的指标。部分</w:t>
      </w:r>
      <w:r>
        <w:rPr>
          <w:rFonts w:hint="eastAsia" w:cs="仿宋"/>
          <w:color w:val="auto"/>
          <w:lang w:eastAsia="zh-CN"/>
        </w:rPr>
        <w:t>项目</w:t>
      </w:r>
      <w:r>
        <w:rPr>
          <w:rFonts w:hint="eastAsia" w:ascii="仿宋" w:hAnsi="仿宋" w:eastAsia="仿宋" w:cs="仿宋"/>
          <w:color w:val="auto"/>
        </w:rPr>
        <w:t>绩效指标设置不</w:t>
      </w:r>
      <w:r>
        <w:rPr>
          <w:rFonts w:hint="eastAsia" w:cs="仿宋"/>
          <w:color w:val="auto"/>
          <w:lang w:eastAsia="zh-CN"/>
        </w:rPr>
        <w:t>全面</w:t>
      </w:r>
      <w:r>
        <w:rPr>
          <w:rFonts w:hint="eastAsia" w:ascii="仿宋" w:hAnsi="仿宋" w:eastAsia="仿宋" w:cs="仿宋"/>
          <w:color w:val="auto"/>
        </w:rPr>
        <w:t>，产出指标缺少时效指标和质量指标，效益指标缺少社会效益指标和可持续影响指标，原则上</w:t>
      </w:r>
      <w:r>
        <w:rPr>
          <w:rFonts w:hint="eastAsia" w:cs="仿宋"/>
          <w:color w:val="auto"/>
          <w:lang w:eastAsia="zh-CN"/>
        </w:rPr>
        <w:t>应</w:t>
      </w:r>
      <w:r>
        <w:rPr>
          <w:rFonts w:hint="eastAsia" w:ascii="仿宋" w:hAnsi="仿宋" w:eastAsia="仿宋" w:cs="仿宋"/>
          <w:color w:val="auto"/>
        </w:rPr>
        <w:t>设置产出数量指标、产出质量指标、产出时效指标、社会效益指标以及可持续影响指标。</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3.对部门整体绩效成果的呈现不够充分，相关绩效成果信息分析和汇总得不够到位。如延续项目与上年项目相比各项工作在哪些方面取得了长足的进步等。项目执行的绩效资料收集、整理及分析意识还需进一步强化,项目服务对象满意度调查</w:t>
      </w:r>
      <w:r>
        <w:rPr>
          <w:rFonts w:hint="eastAsia" w:cs="仿宋"/>
          <w:color w:val="auto"/>
          <w:lang w:eastAsia="zh-CN"/>
        </w:rPr>
        <w:t>方案</w:t>
      </w:r>
      <w:r>
        <w:rPr>
          <w:rFonts w:hint="eastAsia" w:ascii="仿宋" w:hAnsi="仿宋" w:eastAsia="仿宋" w:cs="仿宋"/>
          <w:color w:val="auto"/>
        </w:rPr>
        <w:t>不够</w:t>
      </w:r>
      <w:r>
        <w:rPr>
          <w:rFonts w:hint="eastAsia" w:cs="仿宋"/>
          <w:color w:val="auto"/>
          <w:lang w:eastAsia="zh-CN"/>
        </w:rPr>
        <w:t>完善</w:t>
      </w:r>
      <w:r>
        <w:rPr>
          <w:rFonts w:hint="eastAsia" w:ascii="仿宋" w:hAnsi="仿宋" w:eastAsia="仿宋" w:cs="仿宋"/>
          <w:color w:val="auto"/>
        </w:rPr>
        <w:t>，未能充分、完整地呈现项目效益效果。</w:t>
      </w:r>
    </w:p>
    <w:p>
      <w:pPr>
        <w:pStyle w:val="2"/>
        <w:pageBreakBefore w:val="0"/>
        <w:kinsoku/>
        <w:overflowPunct/>
        <w:topLinePunct w:val="0"/>
        <w:autoSpaceDE/>
        <w:autoSpaceDN/>
        <w:bidi w:val="0"/>
        <w:adjustRightInd/>
        <w:snapToGrid/>
        <w:spacing w:line="540" w:lineRule="exact"/>
        <w:ind w:firstLine="640"/>
        <w:textAlignment w:val="auto"/>
        <w:rPr>
          <w:rFonts w:hint="eastAsia" w:ascii="仿宋" w:hAnsi="仿宋" w:eastAsia="仿宋" w:cs="仿宋"/>
        </w:rPr>
      </w:pPr>
      <w:bookmarkStart w:id="116" w:name="_Toc12554"/>
      <w:bookmarkStart w:id="117" w:name="_Toc25125"/>
      <w:bookmarkStart w:id="118" w:name="_Toc3834"/>
      <w:bookmarkStart w:id="119" w:name="_Toc10327"/>
      <w:bookmarkStart w:id="120" w:name="_Toc103693101"/>
      <w:r>
        <w:rPr>
          <w:rFonts w:hint="eastAsia" w:ascii="仿宋" w:hAnsi="仿宋" w:eastAsia="仿宋" w:cs="仿宋"/>
        </w:rPr>
        <w:t>六、措施建议</w:t>
      </w:r>
      <w:bookmarkEnd w:id="116"/>
      <w:bookmarkEnd w:id="117"/>
      <w:bookmarkEnd w:id="118"/>
      <w:bookmarkEnd w:id="119"/>
      <w:bookmarkEnd w:id="120"/>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bookmarkStart w:id="121" w:name="_Toc24554"/>
      <w:r>
        <w:rPr>
          <w:rFonts w:hint="eastAsia" w:ascii="仿宋" w:hAnsi="仿宋" w:eastAsia="仿宋" w:cs="仿宋"/>
          <w:color w:val="auto"/>
        </w:rPr>
        <w:t>（一）整改措施</w:t>
      </w:r>
      <w:bookmarkEnd w:id="121"/>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1.强化绩效管理理念，将“要我评价”的被动认识转化为“我要评价”的主动实践，把财政绩效评价作为转变</w:t>
      </w:r>
      <w:r>
        <w:rPr>
          <w:rFonts w:hint="eastAsia" w:ascii="仿宋" w:hAnsi="仿宋" w:eastAsia="仿宋" w:cs="仿宋"/>
          <w:color w:val="auto"/>
          <w:lang w:eastAsia="zh-CN"/>
        </w:rPr>
        <w:t>工作作风</w:t>
      </w:r>
      <w:r>
        <w:rPr>
          <w:rFonts w:hint="eastAsia" w:ascii="仿宋" w:hAnsi="仿宋" w:eastAsia="仿宋" w:cs="仿宋"/>
          <w:color w:val="auto"/>
        </w:rPr>
        <w:t>、促进科学理财的重要工作来抓，高度重视绩效管理工作，</w:t>
      </w:r>
      <w:r>
        <w:rPr>
          <w:rFonts w:hint="eastAsia" w:cs="仿宋"/>
          <w:color w:val="auto"/>
          <w:lang w:eastAsia="zh-CN"/>
        </w:rPr>
        <w:t>不断强化项目负责人、执行人的绩效管理主体责任意识，</w:t>
      </w:r>
      <w:r>
        <w:rPr>
          <w:rFonts w:hint="eastAsia" w:ascii="仿宋" w:hAnsi="仿宋" w:eastAsia="仿宋" w:cs="仿宋"/>
          <w:color w:val="auto"/>
        </w:rPr>
        <w:t>深入推进评价工作，提升整体绩效管理水平。</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2.</w:t>
      </w:r>
      <w:r>
        <w:rPr>
          <w:rFonts w:hint="eastAsia" w:cs="仿宋"/>
          <w:color w:val="auto"/>
          <w:lang w:eastAsia="zh-CN"/>
        </w:rPr>
        <w:t>构建</w:t>
      </w:r>
      <w:r>
        <w:rPr>
          <w:rFonts w:hint="eastAsia" w:ascii="仿宋" w:hAnsi="仿宋" w:eastAsia="仿宋" w:cs="仿宋"/>
          <w:color w:val="auto"/>
        </w:rPr>
        <w:t>绩效管理机制。</w:t>
      </w:r>
      <w:r>
        <w:rPr>
          <w:rFonts w:hint="eastAsia" w:cs="仿宋"/>
          <w:color w:val="auto"/>
          <w:lang w:eastAsia="zh-CN"/>
        </w:rPr>
        <w:t>一</w:t>
      </w:r>
      <w:r>
        <w:rPr>
          <w:rFonts w:hint="eastAsia" w:ascii="仿宋" w:hAnsi="仿宋" w:eastAsia="仿宋" w:cs="仿宋"/>
          <w:color w:val="auto"/>
        </w:rPr>
        <w:t>是</w:t>
      </w:r>
      <w:r>
        <w:rPr>
          <w:rFonts w:hint="eastAsia" w:cs="仿宋"/>
          <w:color w:val="auto"/>
          <w:lang w:eastAsia="zh-CN"/>
        </w:rPr>
        <w:t>建立科学规范的财政预算绩效目标管理办法以及绩效管理实施方案，明确预算管理部门、资金使用部门的工作责任。二是建立全面的预算绩效评价指标体系。应结合财政预算绩效评价要求和项目执行实际情况，设置共性指标和个性指标。三是有效应用预算绩效评价结果。</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3.</w:t>
      </w:r>
      <w:r>
        <w:rPr>
          <w:rFonts w:hint="eastAsia" w:ascii="仿宋" w:hAnsi="仿宋" w:eastAsia="仿宋" w:cs="仿宋"/>
          <w:color w:val="auto"/>
          <w:spacing w:val="23"/>
          <w:kern w:val="2"/>
          <w:sz w:val="28"/>
          <w:szCs w:val="28"/>
          <w:lang w:val="en-US" w:eastAsia="zh-CN" w:bidi="ar-SA"/>
        </w:rPr>
        <w:t>加强绩效管理培训。只有开展绩效管理培训，努力提高相关人员业务素质，才能真正将绩效管理工作落到实处。既要提高绩效指标填报水平、绩效目标设置质量，又要强化绩效事中监控，客观真实反映指标完成进度，还应注重项目实施后对部门社会效益、可持续影响等效益体现的整体支撑资料。</w:t>
      </w:r>
    </w:p>
    <w:p>
      <w:pPr>
        <w:pageBreakBefore w:val="0"/>
        <w:kinsoku/>
        <w:overflowPunct/>
        <w:topLinePunct w:val="0"/>
        <w:autoSpaceDE/>
        <w:autoSpaceDN/>
        <w:bidi w:val="0"/>
        <w:adjustRightInd/>
        <w:snapToGrid/>
        <w:spacing w:line="540" w:lineRule="exact"/>
        <w:ind w:firstLine="643" w:firstLineChars="200"/>
        <w:textAlignment w:val="auto"/>
        <w:outlineLvl w:val="1"/>
        <w:rPr>
          <w:rFonts w:hint="eastAsia" w:ascii="仿宋" w:hAnsi="仿宋" w:eastAsia="仿宋" w:cs="仿宋"/>
          <w:b/>
          <w:bCs/>
          <w:color w:val="000000"/>
          <w:kern w:val="0"/>
          <w:sz w:val="32"/>
          <w:szCs w:val="32"/>
        </w:rPr>
      </w:pPr>
      <w:bookmarkStart w:id="122" w:name="_Toc24658"/>
      <w:r>
        <w:rPr>
          <w:rFonts w:hint="eastAsia" w:ascii="仿宋" w:hAnsi="仿宋" w:eastAsia="仿宋" w:cs="仿宋"/>
          <w:b/>
          <w:bCs/>
          <w:color w:val="000000"/>
          <w:kern w:val="0"/>
          <w:sz w:val="32"/>
          <w:szCs w:val="32"/>
        </w:rPr>
        <w:t>（二）下一步工作举措</w:t>
      </w:r>
      <w:bookmarkEnd w:id="122"/>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为提高项目管理水平，使财政资金的使用效益得到最大程度的提高。将从以下几方面开展工作：</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1.加强绩效目标论证</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进一步提高</w:t>
      </w:r>
      <w:r>
        <w:rPr>
          <w:rFonts w:hint="eastAsia" w:ascii="仿宋" w:hAnsi="仿宋" w:eastAsia="仿宋" w:cs="仿宋"/>
          <w:spacing w:val="23"/>
          <w:sz w:val="28"/>
          <w:szCs w:val="28"/>
          <w:lang w:eastAsia="zh-CN"/>
        </w:rPr>
        <w:t>预算</w:t>
      </w:r>
      <w:r>
        <w:rPr>
          <w:rFonts w:hint="eastAsia" w:ascii="仿宋" w:hAnsi="仿宋" w:eastAsia="仿宋" w:cs="仿宋"/>
          <w:spacing w:val="23"/>
          <w:sz w:val="28"/>
          <w:szCs w:val="28"/>
        </w:rPr>
        <w:t>绩效</w:t>
      </w:r>
      <w:r>
        <w:rPr>
          <w:rFonts w:hint="eastAsia" w:ascii="仿宋" w:hAnsi="仿宋" w:eastAsia="仿宋" w:cs="仿宋"/>
          <w:spacing w:val="23"/>
          <w:sz w:val="28"/>
          <w:szCs w:val="28"/>
          <w:lang w:eastAsia="zh-CN"/>
        </w:rPr>
        <w:t>目标规范化</w:t>
      </w:r>
      <w:r>
        <w:rPr>
          <w:rFonts w:hint="eastAsia" w:ascii="仿宋" w:hAnsi="仿宋" w:eastAsia="仿宋" w:cs="仿宋"/>
          <w:spacing w:val="23"/>
          <w:sz w:val="28"/>
          <w:szCs w:val="28"/>
        </w:rPr>
        <w:t>水平，</w:t>
      </w:r>
      <w:r>
        <w:rPr>
          <w:rFonts w:hint="eastAsia" w:ascii="仿宋" w:hAnsi="仿宋" w:eastAsia="仿宋" w:cs="仿宋"/>
          <w:spacing w:val="23"/>
          <w:sz w:val="28"/>
          <w:szCs w:val="28"/>
          <w:lang w:eastAsia="zh-CN"/>
        </w:rPr>
        <w:t>加强</w:t>
      </w:r>
      <w:r>
        <w:rPr>
          <w:rFonts w:hint="eastAsia" w:ascii="仿宋" w:hAnsi="仿宋" w:eastAsia="仿宋" w:cs="仿宋"/>
          <w:spacing w:val="23"/>
          <w:sz w:val="28"/>
          <w:szCs w:val="28"/>
        </w:rPr>
        <w:t>绩效目标论证，</w:t>
      </w:r>
      <w:r>
        <w:rPr>
          <w:rFonts w:hint="eastAsia" w:ascii="仿宋" w:hAnsi="仿宋" w:eastAsia="仿宋" w:cs="仿宋"/>
          <w:spacing w:val="23"/>
          <w:sz w:val="28"/>
          <w:szCs w:val="28"/>
          <w:lang w:eastAsia="zh-CN"/>
        </w:rPr>
        <w:t>用明确、清晰、可量化的</w:t>
      </w:r>
      <w:r>
        <w:rPr>
          <w:rFonts w:hint="eastAsia" w:ascii="仿宋" w:hAnsi="仿宋" w:eastAsia="仿宋" w:cs="仿宋"/>
          <w:spacing w:val="23"/>
          <w:sz w:val="28"/>
          <w:szCs w:val="28"/>
        </w:rPr>
        <w:t>绩效目标</w:t>
      </w:r>
      <w:r>
        <w:rPr>
          <w:rFonts w:hint="eastAsia" w:ascii="仿宋" w:hAnsi="仿宋" w:eastAsia="仿宋" w:cs="仿宋"/>
          <w:spacing w:val="23"/>
          <w:sz w:val="28"/>
          <w:szCs w:val="28"/>
          <w:lang w:eastAsia="zh-CN"/>
        </w:rPr>
        <w:t>体现项目成果的数量和质量、产出和效果</w:t>
      </w:r>
      <w:r>
        <w:rPr>
          <w:rFonts w:hint="eastAsia" w:ascii="仿宋" w:hAnsi="仿宋" w:eastAsia="仿宋" w:cs="仿宋"/>
          <w:spacing w:val="23"/>
          <w:sz w:val="28"/>
          <w:szCs w:val="28"/>
        </w:rPr>
        <w:t>，</w:t>
      </w:r>
      <w:r>
        <w:rPr>
          <w:rFonts w:hint="eastAsia" w:ascii="仿宋" w:hAnsi="仿宋" w:eastAsia="仿宋" w:cs="仿宋"/>
          <w:spacing w:val="23"/>
          <w:sz w:val="28"/>
          <w:szCs w:val="28"/>
          <w:lang w:eastAsia="zh-CN"/>
        </w:rPr>
        <w:t>推动预算管理向科学化、精细化转变</w:t>
      </w:r>
      <w:r>
        <w:rPr>
          <w:rFonts w:hint="eastAsia" w:ascii="仿宋" w:hAnsi="仿宋" w:eastAsia="仿宋" w:cs="仿宋"/>
          <w:spacing w:val="23"/>
          <w:sz w:val="28"/>
          <w:szCs w:val="28"/>
        </w:rPr>
        <w:t>。</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2.强</w:t>
      </w:r>
      <w:r>
        <w:rPr>
          <w:rFonts w:hint="eastAsia" w:ascii="仿宋" w:hAnsi="仿宋" w:eastAsia="仿宋" w:cs="仿宋"/>
          <w:spacing w:val="23"/>
          <w:sz w:val="28"/>
          <w:szCs w:val="28"/>
          <w:lang w:eastAsia="zh-CN"/>
        </w:rPr>
        <w:t>化</w:t>
      </w:r>
      <w:r>
        <w:rPr>
          <w:rFonts w:hint="eastAsia" w:ascii="仿宋" w:hAnsi="仿宋" w:eastAsia="仿宋" w:cs="仿宋"/>
          <w:spacing w:val="23"/>
          <w:sz w:val="28"/>
          <w:szCs w:val="28"/>
        </w:rPr>
        <w:t>项目过程中绩效管理</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lang w:eastAsia="zh-CN"/>
        </w:rPr>
      </w:pPr>
      <w:r>
        <w:rPr>
          <w:rFonts w:hint="eastAsia" w:ascii="仿宋" w:hAnsi="仿宋" w:eastAsia="仿宋" w:cs="仿宋"/>
          <w:spacing w:val="23"/>
          <w:sz w:val="28"/>
          <w:szCs w:val="28"/>
        </w:rPr>
        <w:t>进一步加强项目实施的过程管理，结合项目实际情况，制定行之有效的管理措施和实施方案。项目执行过程做到“组织落实、人员落实、责任落实”，提高方案执行的有效性</w:t>
      </w:r>
      <w:r>
        <w:rPr>
          <w:rFonts w:hint="eastAsia" w:ascii="仿宋" w:hAnsi="仿宋" w:eastAsia="仿宋" w:cs="仿宋"/>
          <w:spacing w:val="23"/>
          <w:sz w:val="28"/>
          <w:szCs w:val="28"/>
          <w:lang w:eastAsia="zh-CN"/>
        </w:rPr>
        <w:t>，及时反馈指标完成进度。</w:t>
      </w:r>
    </w:p>
    <w:p>
      <w:pPr>
        <w:pageBreakBefore w:val="0"/>
        <w:kinsoku/>
        <w:overflowPunct/>
        <w:topLinePunct w:val="0"/>
        <w:autoSpaceDE/>
        <w:autoSpaceDN/>
        <w:bidi w:val="0"/>
        <w:adjustRightInd/>
        <w:snapToGrid/>
        <w:spacing w:line="540" w:lineRule="exact"/>
        <w:ind w:firstLine="652" w:firstLineChars="200"/>
        <w:textAlignment w:val="auto"/>
        <w:rPr>
          <w:rFonts w:hint="eastAsia" w:ascii="仿宋" w:hAnsi="仿宋" w:eastAsia="仿宋" w:cs="仿宋"/>
          <w:spacing w:val="23"/>
          <w:sz w:val="28"/>
          <w:szCs w:val="28"/>
        </w:rPr>
      </w:pPr>
      <w:r>
        <w:rPr>
          <w:rFonts w:hint="eastAsia" w:ascii="仿宋" w:hAnsi="仿宋" w:eastAsia="仿宋" w:cs="仿宋"/>
          <w:spacing w:val="23"/>
          <w:sz w:val="28"/>
          <w:szCs w:val="28"/>
        </w:rPr>
        <w:t>3.注重</w:t>
      </w:r>
      <w:r>
        <w:rPr>
          <w:rFonts w:hint="eastAsia" w:ascii="仿宋" w:hAnsi="仿宋" w:eastAsia="仿宋" w:cs="仿宋"/>
          <w:spacing w:val="23"/>
          <w:sz w:val="28"/>
          <w:szCs w:val="28"/>
          <w:lang w:eastAsia="zh-CN"/>
        </w:rPr>
        <w:t>绩效</w:t>
      </w:r>
      <w:r>
        <w:rPr>
          <w:rFonts w:hint="eastAsia" w:ascii="仿宋" w:hAnsi="仿宋" w:eastAsia="仿宋" w:cs="仿宋"/>
          <w:spacing w:val="23"/>
          <w:sz w:val="28"/>
          <w:szCs w:val="28"/>
        </w:rPr>
        <w:t>资料管理</w:t>
      </w:r>
    </w:p>
    <w:p>
      <w:pPr>
        <w:pStyle w:val="8"/>
        <w:pageBreakBefore w:val="0"/>
        <w:kinsoku/>
        <w:overflowPunct/>
        <w:topLinePunct w:val="0"/>
        <w:autoSpaceDE/>
        <w:autoSpaceDN/>
        <w:bidi w:val="0"/>
        <w:adjustRightInd/>
        <w:snapToGrid/>
        <w:spacing w:line="540" w:lineRule="exact"/>
        <w:textAlignment w:val="auto"/>
        <w:rPr>
          <w:rFonts w:hint="eastAsia" w:ascii="仿宋" w:hAnsi="仿宋" w:eastAsia="仿宋" w:cs="仿宋"/>
          <w:color w:val="auto"/>
        </w:rPr>
      </w:pPr>
      <w:r>
        <w:rPr>
          <w:rFonts w:hint="eastAsia" w:ascii="仿宋" w:hAnsi="仿宋" w:eastAsia="仿宋" w:cs="仿宋"/>
          <w:color w:val="auto"/>
        </w:rPr>
        <w:t>注重各项工作任务完成过程和项目结束后成果资料的管理，做好各项重点工作效果满意度调查，提高</w:t>
      </w:r>
      <w:r>
        <w:rPr>
          <w:rFonts w:hint="eastAsia" w:cs="仿宋"/>
          <w:color w:val="auto"/>
          <w:lang w:eastAsia="zh-CN"/>
        </w:rPr>
        <w:t>对</w:t>
      </w:r>
      <w:r>
        <w:rPr>
          <w:rFonts w:hint="eastAsia" w:ascii="仿宋" w:hAnsi="仿宋" w:eastAsia="仿宋" w:cs="仿宋"/>
          <w:color w:val="auto"/>
        </w:rPr>
        <w:t>服务满意度调查重视程度，</w:t>
      </w:r>
      <w:r>
        <w:rPr>
          <w:rFonts w:hint="eastAsia" w:cs="仿宋"/>
          <w:color w:val="auto"/>
          <w:lang w:eastAsia="zh-CN"/>
        </w:rPr>
        <w:t>设立适合项目的</w:t>
      </w:r>
      <w:r>
        <w:rPr>
          <w:rFonts w:hint="eastAsia" w:ascii="仿宋" w:hAnsi="仿宋" w:eastAsia="仿宋" w:cs="仿宋"/>
          <w:color w:val="auto"/>
        </w:rPr>
        <w:t>满意度调查</w:t>
      </w:r>
      <w:r>
        <w:rPr>
          <w:rFonts w:hint="eastAsia" w:cs="仿宋"/>
          <w:color w:val="auto"/>
          <w:lang w:eastAsia="zh-CN"/>
        </w:rPr>
        <w:t>方案指标</w:t>
      </w:r>
      <w:r>
        <w:rPr>
          <w:rFonts w:hint="eastAsia" w:ascii="仿宋" w:hAnsi="仿宋" w:eastAsia="仿宋" w:cs="仿宋"/>
          <w:color w:val="auto"/>
        </w:rPr>
        <w:t>，以充分反映</w:t>
      </w:r>
      <w:r>
        <w:rPr>
          <w:rFonts w:hint="eastAsia" w:cs="仿宋"/>
          <w:color w:val="auto"/>
          <w:lang w:eastAsia="zh-CN"/>
        </w:rPr>
        <w:t>服务受众</w:t>
      </w:r>
      <w:r>
        <w:rPr>
          <w:rFonts w:hint="eastAsia" w:ascii="仿宋" w:hAnsi="仿宋" w:eastAsia="仿宋" w:cs="仿宋"/>
          <w:color w:val="auto"/>
        </w:rPr>
        <w:t>对市社科院工作的满意度。</w:t>
      </w:r>
    </w:p>
    <w:p>
      <w:pPr>
        <w:pStyle w:val="9"/>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spacing w:val="23"/>
          <w:kern w:val="2"/>
          <w:sz w:val="28"/>
          <w:szCs w:val="28"/>
          <w:lang w:val="en-US" w:eastAsia="zh-CN" w:bidi="ar-SA"/>
        </w:rPr>
      </w:pPr>
      <w:r>
        <w:rPr>
          <w:rFonts w:hint="eastAsia" w:ascii="仿宋" w:hAnsi="仿宋" w:eastAsia="仿宋" w:cs="仿宋"/>
          <w:color w:val="auto"/>
          <w:spacing w:val="23"/>
          <w:kern w:val="2"/>
          <w:sz w:val="28"/>
          <w:szCs w:val="28"/>
          <w:lang w:val="en-US" w:eastAsia="zh-CN" w:bidi="ar-SA"/>
        </w:rPr>
        <w:t>附件：北京市社会科学院2023年度部门预算整体支出绩效评价指标表</w:t>
      </w:r>
    </w:p>
    <w:p>
      <w:pPr>
        <w:pStyle w:val="8"/>
        <w:pageBreakBefore w:val="0"/>
        <w:kinsoku/>
        <w:overflowPunct/>
        <w:topLinePunct w:val="0"/>
        <w:autoSpaceDE/>
        <w:autoSpaceDN/>
        <w:bidi w:val="0"/>
        <w:adjustRightInd/>
        <w:spacing w:line="520" w:lineRule="exact"/>
        <w:textAlignment w:val="auto"/>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9r1VskBAACZAwAADgAAAGRycy9lMm9Eb2MueG1srVPNjtMwEL4j8Q6W&#10;79Rph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2vVWyQEAAJkDAAAOAAAAAAAAAAEAIAAAAB4BAABkcnMvZTJvRG9j&#10;LnhtbFBLBQYAAAAABgAGAFkBAABZBQ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552C2D"/>
    <w:multiLevelType w:val="singleLevel"/>
    <w:tmpl w:val="B8552C2D"/>
    <w:lvl w:ilvl="0" w:tentative="0">
      <w:start w:val="2"/>
      <w:numFmt w:val="decimal"/>
      <w:suff w:val="nothing"/>
      <w:lvlText w:val="（%1）"/>
      <w:lvlJc w:val="left"/>
    </w:lvl>
  </w:abstractNum>
  <w:abstractNum w:abstractNumId="1">
    <w:nsid w:val="DCBBC16A"/>
    <w:multiLevelType w:val="multilevel"/>
    <w:tmpl w:val="DCBBC16A"/>
    <w:lvl w:ilvl="0" w:tentative="0">
      <w:start w:val="1"/>
      <w:numFmt w:val="chineseCounting"/>
      <w:suff w:val="nothing"/>
      <w:lvlText w:val="%1、"/>
      <w:lvlJc w:val="left"/>
      <w:pPr>
        <w:ind w:left="0" w:firstLine="0"/>
      </w:pPr>
      <w:rPr>
        <w:rFonts w:hint="eastAsia" w:ascii="仿宋" w:hAnsi="仿宋" w:eastAsia="仿宋" w:cs="仿宋"/>
        <w:sz w:val="28"/>
        <w:szCs w:val="28"/>
      </w:rPr>
    </w:lvl>
    <w:lvl w:ilvl="1" w:tentative="0">
      <w:start w:val="1"/>
      <w:numFmt w:val="chineseCounting"/>
      <w:suff w:val="nothing"/>
      <w:lvlText w:val="（%2）"/>
      <w:lvlJc w:val="left"/>
      <w:pPr>
        <w:ind w:left="0" w:firstLine="0"/>
      </w:pPr>
      <w:rPr>
        <w:rFonts w:hint="eastAsia" w:ascii="仿宋" w:hAnsi="仿宋" w:eastAsia="仿宋" w:cs="仿宋"/>
        <w:sz w:val="28"/>
        <w:szCs w:val="28"/>
      </w:rPr>
    </w:lvl>
    <w:lvl w:ilvl="2" w:tentative="0">
      <w:start w:val="1"/>
      <w:numFmt w:val="decimal"/>
      <w:suff w:val="nothing"/>
      <w:lvlText w:val="%3．"/>
      <w:lvlJc w:val="left"/>
      <w:pPr>
        <w:ind w:left="0" w:firstLine="400"/>
      </w:pPr>
      <w:rPr>
        <w:rFonts w:hint="default" w:ascii="仿宋" w:hAnsi="仿宋" w:eastAsia="仿宋" w:cs="仿宋"/>
        <w:b w:val="0"/>
        <w:bCs w:val="0"/>
        <w:sz w:val="28"/>
        <w:szCs w:val="28"/>
      </w:rPr>
    </w:lvl>
    <w:lvl w:ilvl="3" w:tentative="0">
      <w:start w:val="1"/>
      <w:numFmt w:val="decimal"/>
      <w:pStyle w:val="5"/>
      <w:suff w:val="nothing"/>
      <w:lvlText w:val="（%4）"/>
      <w:lvlJc w:val="left"/>
      <w:pPr>
        <w:ind w:left="0" w:firstLine="402"/>
      </w:pPr>
      <w:rPr>
        <w:rFonts w:hint="default" w:ascii="仿宋" w:hAnsi="仿宋" w:eastAsia="仿宋" w:cs="仿宋"/>
        <w:b w:val="0"/>
        <w:bCs w:val="0"/>
        <w:sz w:val="28"/>
        <w:szCs w:val="28"/>
      </w:rPr>
    </w:lvl>
    <w:lvl w:ilvl="4" w:tentative="0">
      <w:start w:val="1"/>
      <w:numFmt w:val="decimalEnclosedCircleChinese"/>
      <w:suff w:val="nothing"/>
      <w:lvlText w:val="%5"/>
      <w:lvlJc w:val="left"/>
      <w:pPr>
        <w:ind w:left="728" w:firstLine="402"/>
      </w:pPr>
      <w:rPr>
        <w:rFonts w:hint="eastAsia" w:ascii="仿宋" w:hAnsi="仿宋" w:eastAsia="仿宋" w:cs="仿宋"/>
        <w:b w:val="0"/>
        <w:bCs w:val="0"/>
        <w:sz w:val="28"/>
        <w:szCs w:val="28"/>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jNmY1MmE1MjM1Mjc0YzlmZWRmNjlkZDgzNTkxZTAifQ=="/>
    <w:docVar w:name="KSO_WPS_MARK_KEY" w:val="6183dfab-36f9-40c9-a32b-712042ed2b82"/>
  </w:docVars>
  <w:rsids>
    <w:rsidRoot w:val="008564F7"/>
    <w:rsid w:val="000008AC"/>
    <w:rsid w:val="00006758"/>
    <w:rsid w:val="00010EC6"/>
    <w:rsid w:val="000126B5"/>
    <w:rsid w:val="000147F7"/>
    <w:rsid w:val="0001530F"/>
    <w:rsid w:val="00022263"/>
    <w:rsid w:val="00026941"/>
    <w:rsid w:val="00030634"/>
    <w:rsid w:val="000417CE"/>
    <w:rsid w:val="00051142"/>
    <w:rsid w:val="00052A37"/>
    <w:rsid w:val="00055941"/>
    <w:rsid w:val="0006425B"/>
    <w:rsid w:val="000645EA"/>
    <w:rsid w:val="0006535E"/>
    <w:rsid w:val="000668EB"/>
    <w:rsid w:val="000731D8"/>
    <w:rsid w:val="00077BEB"/>
    <w:rsid w:val="00084BBF"/>
    <w:rsid w:val="000910F4"/>
    <w:rsid w:val="000A0616"/>
    <w:rsid w:val="000A300E"/>
    <w:rsid w:val="000A4F5C"/>
    <w:rsid w:val="000A6FC8"/>
    <w:rsid w:val="000A77AA"/>
    <w:rsid w:val="000B3B1A"/>
    <w:rsid w:val="000B4457"/>
    <w:rsid w:val="000B5089"/>
    <w:rsid w:val="000B5539"/>
    <w:rsid w:val="000C3E7C"/>
    <w:rsid w:val="000C795D"/>
    <w:rsid w:val="000E30DA"/>
    <w:rsid w:val="00101926"/>
    <w:rsid w:val="00113126"/>
    <w:rsid w:val="00115F8F"/>
    <w:rsid w:val="001175B5"/>
    <w:rsid w:val="00121797"/>
    <w:rsid w:val="00122892"/>
    <w:rsid w:val="00125B2A"/>
    <w:rsid w:val="00131BF5"/>
    <w:rsid w:val="001357AF"/>
    <w:rsid w:val="00137313"/>
    <w:rsid w:val="0014657F"/>
    <w:rsid w:val="00146841"/>
    <w:rsid w:val="001556C3"/>
    <w:rsid w:val="00160B05"/>
    <w:rsid w:val="00166750"/>
    <w:rsid w:val="00175B69"/>
    <w:rsid w:val="001810A8"/>
    <w:rsid w:val="001813F7"/>
    <w:rsid w:val="0019148C"/>
    <w:rsid w:val="001918F1"/>
    <w:rsid w:val="00195FCC"/>
    <w:rsid w:val="00197D4C"/>
    <w:rsid w:val="001A0257"/>
    <w:rsid w:val="001A29F2"/>
    <w:rsid w:val="001A7906"/>
    <w:rsid w:val="001B1C02"/>
    <w:rsid w:val="001C1F15"/>
    <w:rsid w:val="001D457F"/>
    <w:rsid w:val="001E339A"/>
    <w:rsid w:val="001E6BB2"/>
    <w:rsid w:val="001F1D33"/>
    <w:rsid w:val="001F587D"/>
    <w:rsid w:val="00203FDB"/>
    <w:rsid w:val="0020636C"/>
    <w:rsid w:val="00215A7E"/>
    <w:rsid w:val="00217EEA"/>
    <w:rsid w:val="00223236"/>
    <w:rsid w:val="002233C0"/>
    <w:rsid w:val="00237AA3"/>
    <w:rsid w:val="00241D77"/>
    <w:rsid w:val="0024332E"/>
    <w:rsid w:val="00245C2A"/>
    <w:rsid w:val="0024627C"/>
    <w:rsid w:val="0026231E"/>
    <w:rsid w:val="002B3F22"/>
    <w:rsid w:val="002B4996"/>
    <w:rsid w:val="002C1C60"/>
    <w:rsid w:val="002D2E69"/>
    <w:rsid w:val="002D564B"/>
    <w:rsid w:val="002D70C6"/>
    <w:rsid w:val="002E48F8"/>
    <w:rsid w:val="002F0CFA"/>
    <w:rsid w:val="003012FD"/>
    <w:rsid w:val="00306931"/>
    <w:rsid w:val="00314C75"/>
    <w:rsid w:val="003177D8"/>
    <w:rsid w:val="00320E0E"/>
    <w:rsid w:val="00333F96"/>
    <w:rsid w:val="00336A6C"/>
    <w:rsid w:val="00337C38"/>
    <w:rsid w:val="003409D7"/>
    <w:rsid w:val="003439C8"/>
    <w:rsid w:val="00344F48"/>
    <w:rsid w:val="003476DC"/>
    <w:rsid w:val="00361DD0"/>
    <w:rsid w:val="00364442"/>
    <w:rsid w:val="00364D23"/>
    <w:rsid w:val="00370414"/>
    <w:rsid w:val="003728CE"/>
    <w:rsid w:val="003825E1"/>
    <w:rsid w:val="00384272"/>
    <w:rsid w:val="00385906"/>
    <w:rsid w:val="003875E4"/>
    <w:rsid w:val="003963B2"/>
    <w:rsid w:val="003B55E6"/>
    <w:rsid w:val="003B66D4"/>
    <w:rsid w:val="003C2EAA"/>
    <w:rsid w:val="003D0C8B"/>
    <w:rsid w:val="003D11D2"/>
    <w:rsid w:val="003D1B1C"/>
    <w:rsid w:val="003D4389"/>
    <w:rsid w:val="003E3DF7"/>
    <w:rsid w:val="003E62F9"/>
    <w:rsid w:val="003F2731"/>
    <w:rsid w:val="003F33FF"/>
    <w:rsid w:val="00412DB9"/>
    <w:rsid w:val="00416EA4"/>
    <w:rsid w:val="00421959"/>
    <w:rsid w:val="00421FF5"/>
    <w:rsid w:val="004229F9"/>
    <w:rsid w:val="00424F6D"/>
    <w:rsid w:val="00433BF1"/>
    <w:rsid w:val="00440875"/>
    <w:rsid w:val="00450419"/>
    <w:rsid w:val="00457D7E"/>
    <w:rsid w:val="00463310"/>
    <w:rsid w:val="004700C1"/>
    <w:rsid w:val="00470FC7"/>
    <w:rsid w:val="00480372"/>
    <w:rsid w:val="004933D1"/>
    <w:rsid w:val="00496BD4"/>
    <w:rsid w:val="0049753C"/>
    <w:rsid w:val="004A2B10"/>
    <w:rsid w:val="004A6E69"/>
    <w:rsid w:val="004B2BEA"/>
    <w:rsid w:val="004C31F7"/>
    <w:rsid w:val="004C473C"/>
    <w:rsid w:val="004C6FF7"/>
    <w:rsid w:val="004C7343"/>
    <w:rsid w:val="004D1572"/>
    <w:rsid w:val="004D6159"/>
    <w:rsid w:val="004E2E4D"/>
    <w:rsid w:val="004E3D48"/>
    <w:rsid w:val="004E55FC"/>
    <w:rsid w:val="004F1543"/>
    <w:rsid w:val="00505F99"/>
    <w:rsid w:val="00514285"/>
    <w:rsid w:val="00515227"/>
    <w:rsid w:val="00515CD4"/>
    <w:rsid w:val="005319EF"/>
    <w:rsid w:val="00532603"/>
    <w:rsid w:val="00532D67"/>
    <w:rsid w:val="005333B0"/>
    <w:rsid w:val="00537F0E"/>
    <w:rsid w:val="005652BF"/>
    <w:rsid w:val="005730E4"/>
    <w:rsid w:val="0057320B"/>
    <w:rsid w:val="00587149"/>
    <w:rsid w:val="00597013"/>
    <w:rsid w:val="005A1419"/>
    <w:rsid w:val="005A2E75"/>
    <w:rsid w:val="005A6851"/>
    <w:rsid w:val="005A7546"/>
    <w:rsid w:val="005B40DF"/>
    <w:rsid w:val="005D4A89"/>
    <w:rsid w:val="005E4B8A"/>
    <w:rsid w:val="005E51A8"/>
    <w:rsid w:val="005E5857"/>
    <w:rsid w:val="005F6A8C"/>
    <w:rsid w:val="00600629"/>
    <w:rsid w:val="0060551D"/>
    <w:rsid w:val="006204CA"/>
    <w:rsid w:val="006240AF"/>
    <w:rsid w:val="006313DB"/>
    <w:rsid w:val="006423D2"/>
    <w:rsid w:val="0065034C"/>
    <w:rsid w:val="00654032"/>
    <w:rsid w:val="00661A1A"/>
    <w:rsid w:val="00663B6C"/>
    <w:rsid w:val="00666BA0"/>
    <w:rsid w:val="0066750E"/>
    <w:rsid w:val="006779C6"/>
    <w:rsid w:val="006829D1"/>
    <w:rsid w:val="00685D95"/>
    <w:rsid w:val="00687A0D"/>
    <w:rsid w:val="00691537"/>
    <w:rsid w:val="006935C0"/>
    <w:rsid w:val="00693CA7"/>
    <w:rsid w:val="006A6E06"/>
    <w:rsid w:val="006B199A"/>
    <w:rsid w:val="006B74EE"/>
    <w:rsid w:val="006D0D0E"/>
    <w:rsid w:val="006D348F"/>
    <w:rsid w:val="006D4E25"/>
    <w:rsid w:val="006D521D"/>
    <w:rsid w:val="006F05B9"/>
    <w:rsid w:val="006F47B1"/>
    <w:rsid w:val="006F5046"/>
    <w:rsid w:val="007052CE"/>
    <w:rsid w:val="0070582C"/>
    <w:rsid w:val="00706A76"/>
    <w:rsid w:val="00711F50"/>
    <w:rsid w:val="00712DA4"/>
    <w:rsid w:val="00716C2E"/>
    <w:rsid w:val="007204AA"/>
    <w:rsid w:val="007301C2"/>
    <w:rsid w:val="00732E42"/>
    <w:rsid w:val="00735B53"/>
    <w:rsid w:val="00743855"/>
    <w:rsid w:val="007453C9"/>
    <w:rsid w:val="00751027"/>
    <w:rsid w:val="00751075"/>
    <w:rsid w:val="007611D0"/>
    <w:rsid w:val="00764FA8"/>
    <w:rsid w:val="00770F82"/>
    <w:rsid w:val="00796E51"/>
    <w:rsid w:val="007A29CD"/>
    <w:rsid w:val="007B1B56"/>
    <w:rsid w:val="007B7074"/>
    <w:rsid w:val="007C76F3"/>
    <w:rsid w:val="007D096A"/>
    <w:rsid w:val="007D4712"/>
    <w:rsid w:val="007F336F"/>
    <w:rsid w:val="007F3666"/>
    <w:rsid w:val="00804209"/>
    <w:rsid w:val="00806C76"/>
    <w:rsid w:val="00813BE3"/>
    <w:rsid w:val="00820FB6"/>
    <w:rsid w:val="008214E3"/>
    <w:rsid w:val="008353D9"/>
    <w:rsid w:val="008355D1"/>
    <w:rsid w:val="00835ED6"/>
    <w:rsid w:val="00840443"/>
    <w:rsid w:val="00840888"/>
    <w:rsid w:val="00845922"/>
    <w:rsid w:val="008564F7"/>
    <w:rsid w:val="00857ED7"/>
    <w:rsid w:val="0086075C"/>
    <w:rsid w:val="0086473F"/>
    <w:rsid w:val="00864846"/>
    <w:rsid w:val="00871CA6"/>
    <w:rsid w:val="00871EC9"/>
    <w:rsid w:val="00877CE3"/>
    <w:rsid w:val="0088619D"/>
    <w:rsid w:val="00895BEE"/>
    <w:rsid w:val="0089660F"/>
    <w:rsid w:val="008A3715"/>
    <w:rsid w:val="008B2BC3"/>
    <w:rsid w:val="008B4514"/>
    <w:rsid w:val="008C5B2F"/>
    <w:rsid w:val="008C66A0"/>
    <w:rsid w:val="008C6807"/>
    <w:rsid w:val="008D2EF8"/>
    <w:rsid w:val="008D3432"/>
    <w:rsid w:val="008D7115"/>
    <w:rsid w:val="008D73C3"/>
    <w:rsid w:val="008E6FAD"/>
    <w:rsid w:val="00901DE5"/>
    <w:rsid w:val="0091555E"/>
    <w:rsid w:val="00917469"/>
    <w:rsid w:val="009224FE"/>
    <w:rsid w:val="00926B37"/>
    <w:rsid w:val="00932384"/>
    <w:rsid w:val="00934343"/>
    <w:rsid w:val="00937AAE"/>
    <w:rsid w:val="00960BEB"/>
    <w:rsid w:val="009619EC"/>
    <w:rsid w:val="00965992"/>
    <w:rsid w:val="00970909"/>
    <w:rsid w:val="00973614"/>
    <w:rsid w:val="009752FC"/>
    <w:rsid w:val="00976EA6"/>
    <w:rsid w:val="009814D0"/>
    <w:rsid w:val="00992703"/>
    <w:rsid w:val="009B140C"/>
    <w:rsid w:val="009B4879"/>
    <w:rsid w:val="009D4ACF"/>
    <w:rsid w:val="009D6D3E"/>
    <w:rsid w:val="009F051C"/>
    <w:rsid w:val="009F6F1E"/>
    <w:rsid w:val="009F7551"/>
    <w:rsid w:val="00A03D59"/>
    <w:rsid w:val="00A05C9D"/>
    <w:rsid w:val="00A077AA"/>
    <w:rsid w:val="00A10C28"/>
    <w:rsid w:val="00A165ED"/>
    <w:rsid w:val="00A21B5F"/>
    <w:rsid w:val="00A2210A"/>
    <w:rsid w:val="00A232DB"/>
    <w:rsid w:val="00A25C7D"/>
    <w:rsid w:val="00A338EA"/>
    <w:rsid w:val="00A33C58"/>
    <w:rsid w:val="00A53A18"/>
    <w:rsid w:val="00A555B2"/>
    <w:rsid w:val="00A600F8"/>
    <w:rsid w:val="00A629BF"/>
    <w:rsid w:val="00A64919"/>
    <w:rsid w:val="00A676AE"/>
    <w:rsid w:val="00A72EFD"/>
    <w:rsid w:val="00A82C1C"/>
    <w:rsid w:val="00A92126"/>
    <w:rsid w:val="00A9384B"/>
    <w:rsid w:val="00A94B63"/>
    <w:rsid w:val="00A97748"/>
    <w:rsid w:val="00AB1518"/>
    <w:rsid w:val="00AB6F0D"/>
    <w:rsid w:val="00AB7D89"/>
    <w:rsid w:val="00AC3F60"/>
    <w:rsid w:val="00AC58AD"/>
    <w:rsid w:val="00AD2CCC"/>
    <w:rsid w:val="00AD35A7"/>
    <w:rsid w:val="00AD3AE7"/>
    <w:rsid w:val="00AD67AF"/>
    <w:rsid w:val="00AE57C4"/>
    <w:rsid w:val="00AE738F"/>
    <w:rsid w:val="00AF010D"/>
    <w:rsid w:val="00AF0CAF"/>
    <w:rsid w:val="00AF3D99"/>
    <w:rsid w:val="00B0005F"/>
    <w:rsid w:val="00B05827"/>
    <w:rsid w:val="00B06FB9"/>
    <w:rsid w:val="00B20480"/>
    <w:rsid w:val="00B20611"/>
    <w:rsid w:val="00B2330E"/>
    <w:rsid w:val="00B30EF2"/>
    <w:rsid w:val="00B37BC1"/>
    <w:rsid w:val="00B47620"/>
    <w:rsid w:val="00B6120A"/>
    <w:rsid w:val="00B63002"/>
    <w:rsid w:val="00B66379"/>
    <w:rsid w:val="00B744D6"/>
    <w:rsid w:val="00B77B60"/>
    <w:rsid w:val="00B83B7B"/>
    <w:rsid w:val="00B868F5"/>
    <w:rsid w:val="00B97CE3"/>
    <w:rsid w:val="00BA79AF"/>
    <w:rsid w:val="00BB3C09"/>
    <w:rsid w:val="00BC22D8"/>
    <w:rsid w:val="00BD08A8"/>
    <w:rsid w:val="00BD0CC5"/>
    <w:rsid w:val="00BD57A5"/>
    <w:rsid w:val="00BD7A51"/>
    <w:rsid w:val="00BE56EE"/>
    <w:rsid w:val="00BE600B"/>
    <w:rsid w:val="00BF5448"/>
    <w:rsid w:val="00C00266"/>
    <w:rsid w:val="00C04077"/>
    <w:rsid w:val="00C07E85"/>
    <w:rsid w:val="00C07EEB"/>
    <w:rsid w:val="00C1365A"/>
    <w:rsid w:val="00C166C2"/>
    <w:rsid w:val="00C16BAB"/>
    <w:rsid w:val="00C16BC6"/>
    <w:rsid w:val="00C2762A"/>
    <w:rsid w:val="00C31FFA"/>
    <w:rsid w:val="00C326C3"/>
    <w:rsid w:val="00C373C3"/>
    <w:rsid w:val="00C423C0"/>
    <w:rsid w:val="00C4548F"/>
    <w:rsid w:val="00C516DA"/>
    <w:rsid w:val="00C541AE"/>
    <w:rsid w:val="00C61DD1"/>
    <w:rsid w:val="00C62774"/>
    <w:rsid w:val="00C710C0"/>
    <w:rsid w:val="00C87380"/>
    <w:rsid w:val="00C87D74"/>
    <w:rsid w:val="00C904BB"/>
    <w:rsid w:val="00C90B43"/>
    <w:rsid w:val="00C96412"/>
    <w:rsid w:val="00CB1C8C"/>
    <w:rsid w:val="00CB63E5"/>
    <w:rsid w:val="00CC69AE"/>
    <w:rsid w:val="00CE0F0F"/>
    <w:rsid w:val="00CF5E5C"/>
    <w:rsid w:val="00D024C9"/>
    <w:rsid w:val="00D11148"/>
    <w:rsid w:val="00D13224"/>
    <w:rsid w:val="00D20885"/>
    <w:rsid w:val="00D4097A"/>
    <w:rsid w:val="00D43D31"/>
    <w:rsid w:val="00D43E88"/>
    <w:rsid w:val="00D46F69"/>
    <w:rsid w:val="00D53CF7"/>
    <w:rsid w:val="00D64829"/>
    <w:rsid w:val="00D6754B"/>
    <w:rsid w:val="00D74601"/>
    <w:rsid w:val="00D75659"/>
    <w:rsid w:val="00D8028C"/>
    <w:rsid w:val="00D83FB0"/>
    <w:rsid w:val="00D92352"/>
    <w:rsid w:val="00D94057"/>
    <w:rsid w:val="00D94DDD"/>
    <w:rsid w:val="00D96808"/>
    <w:rsid w:val="00DA1D15"/>
    <w:rsid w:val="00DA717E"/>
    <w:rsid w:val="00DC030D"/>
    <w:rsid w:val="00DC730B"/>
    <w:rsid w:val="00DC7481"/>
    <w:rsid w:val="00DD120E"/>
    <w:rsid w:val="00DF098C"/>
    <w:rsid w:val="00DF28B4"/>
    <w:rsid w:val="00DF622C"/>
    <w:rsid w:val="00DF71B0"/>
    <w:rsid w:val="00E020A1"/>
    <w:rsid w:val="00E04817"/>
    <w:rsid w:val="00E05F99"/>
    <w:rsid w:val="00E12D3D"/>
    <w:rsid w:val="00E15F8F"/>
    <w:rsid w:val="00E17186"/>
    <w:rsid w:val="00E20258"/>
    <w:rsid w:val="00E25D1D"/>
    <w:rsid w:val="00E274CF"/>
    <w:rsid w:val="00E30663"/>
    <w:rsid w:val="00E32F51"/>
    <w:rsid w:val="00E33E35"/>
    <w:rsid w:val="00E35AE2"/>
    <w:rsid w:val="00E47282"/>
    <w:rsid w:val="00E51EE6"/>
    <w:rsid w:val="00E520D6"/>
    <w:rsid w:val="00E63C8D"/>
    <w:rsid w:val="00E64589"/>
    <w:rsid w:val="00E82D87"/>
    <w:rsid w:val="00E91F30"/>
    <w:rsid w:val="00E9204C"/>
    <w:rsid w:val="00EA2EA8"/>
    <w:rsid w:val="00EA66DA"/>
    <w:rsid w:val="00EA7065"/>
    <w:rsid w:val="00EA746E"/>
    <w:rsid w:val="00EC7A90"/>
    <w:rsid w:val="00ED1DBE"/>
    <w:rsid w:val="00ED3223"/>
    <w:rsid w:val="00EE2FF9"/>
    <w:rsid w:val="00EE30E4"/>
    <w:rsid w:val="00EE7F5B"/>
    <w:rsid w:val="00F0176B"/>
    <w:rsid w:val="00F029BE"/>
    <w:rsid w:val="00F1523B"/>
    <w:rsid w:val="00F2579D"/>
    <w:rsid w:val="00F308A0"/>
    <w:rsid w:val="00F34123"/>
    <w:rsid w:val="00F47CF1"/>
    <w:rsid w:val="00F50E68"/>
    <w:rsid w:val="00F60B23"/>
    <w:rsid w:val="00F6104B"/>
    <w:rsid w:val="00F62246"/>
    <w:rsid w:val="00F6742E"/>
    <w:rsid w:val="00F82C8C"/>
    <w:rsid w:val="00F85885"/>
    <w:rsid w:val="00F87F8A"/>
    <w:rsid w:val="00F90272"/>
    <w:rsid w:val="00FA67CA"/>
    <w:rsid w:val="00FB18E8"/>
    <w:rsid w:val="00FB68CA"/>
    <w:rsid w:val="00FC4555"/>
    <w:rsid w:val="00FC6E3E"/>
    <w:rsid w:val="00FD1F42"/>
    <w:rsid w:val="00FD245A"/>
    <w:rsid w:val="00FD5569"/>
    <w:rsid w:val="00FE3659"/>
    <w:rsid w:val="00FE5BEC"/>
    <w:rsid w:val="00FF1146"/>
    <w:rsid w:val="00FF1D46"/>
    <w:rsid w:val="00FF50DA"/>
    <w:rsid w:val="00FF575A"/>
    <w:rsid w:val="01633CD3"/>
    <w:rsid w:val="01987FE8"/>
    <w:rsid w:val="01D37272"/>
    <w:rsid w:val="01E850A9"/>
    <w:rsid w:val="02E132C9"/>
    <w:rsid w:val="03490DB6"/>
    <w:rsid w:val="03553DFA"/>
    <w:rsid w:val="03BC4BD4"/>
    <w:rsid w:val="04471852"/>
    <w:rsid w:val="04D1736D"/>
    <w:rsid w:val="050E1FD4"/>
    <w:rsid w:val="0525637C"/>
    <w:rsid w:val="053A6716"/>
    <w:rsid w:val="061B11E8"/>
    <w:rsid w:val="063B53E6"/>
    <w:rsid w:val="06922C98"/>
    <w:rsid w:val="07926979"/>
    <w:rsid w:val="081536FE"/>
    <w:rsid w:val="0837398B"/>
    <w:rsid w:val="09535A22"/>
    <w:rsid w:val="09A87AC1"/>
    <w:rsid w:val="09CA440C"/>
    <w:rsid w:val="0A4E4126"/>
    <w:rsid w:val="0A786ADD"/>
    <w:rsid w:val="0A9A6B7F"/>
    <w:rsid w:val="0AFF69E2"/>
    <w:rsid w:val="0B0B35D9"/>
    <w:rsid w:val="0B6770AF"/>
    <w:rsid w:val="0BE3317C"/>
    <w:rsid w:val="0C037F8D"/>
    <w:rsid w:val="0C177E4A"/>
    <w:rsid w:val="0C5C1C12"/>
    <w:rsid w:val="0D2E4782"/>
    <w:rsid w:val="0D7511DD"/>
    <w:rsid w:val="0DAA1A4E"/>
    <w:rsid w:val="0DFC6867"/>
    <w:rsid w:val="0E3F3599"/>
    <w:rsid w:val="0E7323AF"/>
    <w:rsid w:val="0FF650FF"/>
    <w:rsid w:val="106E5EAA"/>
    <w:rsid w:val="11222D97"/>
    <w:rsid w:val="113D34A0"/>
    <w:rsid w:val="11446EFE"/>
    <w:rsid w:val="125B033C"/>
    <w:rsid w:val="130049A2"/>
    <w:rsid w:val="132F62D2"/>
    <w:rsid w:val="138C7281"/>
    <w:rsid w:val="13C8367E"/>
    <w:rsid w:val="13E93FF1"/>
    <w:rsid w:val="13F56BD4"/>
    <w:rsid w:val="145359C0"/>
    <w:rsid w:val="14A13DB3"/>
    <w:rsid w:val="14AD06B2"/>
    <w:rsid w:val="14DB380B"/>
    <w:rsid w:val="1557786D"/>
    <w:rsid w:val="156D6C3E"/>
    <w:rsid w:val="159B7CC0"/>
    <w:rsid w:val="159C5ED8"/>
    <w:rsid w:val="16797F90"/>
    <w:rsid w:val="16B0772A"/>
    <w:rsid w:val="17212C4E"/>
    <w:rsid w:val="17283764"/>
    <w:rsid w:val="17433C5A"/>
    <w:rsid w:val="175B7696"/>
    <w:rsid w:val="17A90406"/>
    <w:rsid w:val="17C36FE9"/>
    <w:rsid w:val="17C76AD9"/>
    <w:rsid w:val="180A2E6A"/>
    <w:rsid w:val="181D2B9D"/>
    <w:rsid w:val="183B2A88"/>
    <w:rsid w:val="19355CC5"/>
    <w:rsid w:val="19EC38DB"/>
    <w:rsid w:val="19FFE5BA"/>
    <w:rsid w:val="1A971BD8"/>
    <w:rsid w:val="1AF35E37"/>
    <w:rsid w:val="1B213642"/>
    <w:rsid w:val="1B6A60FA"/>
    <w:rsid w:val="1C073948"/>
    <w:rsid w:val="1C340123"/>
    <w:rsid w:val="1CD47741"/>
    <w:rsid w:val="1D4E271A"/>
    <w:rsid w:val="1D54148D"/>
    <w:rsid w:val="1DE2466D"/>
    <w:rsid w:val="1E924307"/>
    <w:rsid w:val="1F325180"/>
    <w:rsid w:val="1F8871D0"/>
    <w:rsid w:val="1F892C3A"/>
    <w:rsid w:val="203E32AB"/>
    <w:rsid w:val="20A83220"/>
    <w:rsid w:val="216058A9"/>
    <w:rsid w:val="217D7E3E"/>
    <w:rsid w:val="219A700D"/>
    <w:rsid w:val="21B1376F"/>
    <w:rsid w:val="22274D44"/>
    <w:rsid w:val="22BF6233"/>
    <w:rsid w:val="22D14684"/>
    <w:rsid w:val="22E77460"/>
    <w:rsid w:val="23553866"/>
    <w:rsid w:val="23AC11BD"/>
    <w:rsid w:val="242F3531"/>
    <w:rsid w:val="245051AD"/>
    <w:rsid w:val="25290DD3"/>
    <w:rsid w:val="26001F29"/>
    <w:rsid w:val="276E2ACE"/>
    <w:rsid w:val="277A23EA"/>
    <w:rsid w:val="2782764C"/>
    <w:rsid w:val="27EF069B"/>
    <w:rsid w:val="28812CD5"/>
    <w:rsid w:val="289E5F46"/>
    <w:rsid w:val="29121B7F"/>
    <w:rsid w:val="293E0B60"/>
    <w:rsid w:val="293F5C3F"/>
    <w:rsid w:val="29466370"/>
    <w:rsid w:val="29F67F29"/>
    <w:rsid w:val="2A335204"/>
    <w:rsid w:val="2A857542"/>
    <w:rsid w:val="2A992557"/>
    <w:rsid w:val="2AB949A8"/>
    <w:rsid w:val="2AEC7FAA"/>
    <w:rsid w:val="2B746142"/>
    <w:rsid w:val="2BDF73D4"/>
    <w:rsid w:val="2C0D3622"/>
    <w:rsid w:val="2C4D6B01"/>
    <w:rsid w:val="2CD226C8"/>
    <w:rsid w:val="2CE42B11"/>
    <w:rsid w:val="2D23435A"/>
    <w:rsid w:val="2D630BFB"/>
    <w:rsid w:val="2DCC67A0"/>
    <w:rsid w:val="2E0C264D"/>
    <w:rsid w:val="2F136186"/>
    <w:rsid w:val="303E14AB"/>
    <w:rsid w:val="3091782D"/>
    <w:rsid w:val="30AF18A8"/>
    <w:rsid w:val="310E5321"/>
    <w:rsid w:val="31462D0D"/>
    <w:rsid w:val="314E161A"/>
    <w:rsid w:val="32943604"/>
    <w:rsid w:val="32DA195F"/>
    <w:rsid w:val="32FB0F39"/>
    <w:rsid w:val="33B11748"/>
    <w:rsid w:val="33F7209D"/>
    <w:rsid w:val="3462501D"/>
    <w:rsid w:val="346855AF"/>
    <w:rsid w:val="34A51AF9"/>
    <w:rsid w:val="35773495"/>
    <w:rsid w:val="358160C2"/>
    <w:rsid w:val="35895842"/>
    <w:rsid w:val="35B9591C"/>
    <w:rsid w:val="35BE61FD"/>
    <w:rsid w:val="361231BE"/>
    <w:rsid w:val="364F7F6E"/>
    <w:rsid w:val="36DC2C68"/>
    <w:rsid w:val="36FFB190"/>
    <w:rsid w:val="370F3A55"/>
    <w:rsid w:val="375C7296"/>
    <w:rsid w:val="38404012"/>
    <w:rsid w:val="3842194E"/>
    <w:rsid w:val="38594FB3"/>
    <w:rsid w:val="3890447E"/>
    <w:rsid w:val="39224399"/>
    <w:rsid w:val="39776D8F"/>
    <w:rsid w:val="39A17917"/>
    <w:rsid w:val="39C53D18"/>
    <w:rsid w:val="39FCBABB"/>
    <w:rsid w:val="39FF48BD"/>
    <w:rsid w:val="3A017B46"/>
    <w:rsid w:val="3A782F7C"/>
    <w:rsid w:val="3AA755BB"/>
    <w:rsid w:val="3ADC46EA"/>
    <w:rsid w:val="3B3744BB"/>
    <w:rsid w:val="3B843324"/>
    <w:rsid w:val="3BC91A42"/>
    <w:rsid w:val="3C08651B"/>
    <w:rsid w:val="3C203C13"/>
    <w:rsid w:val="3CF735EA"/>
    <w:rsid w:val="3D687B67"/>
    <w:rsid w:val="3DFF377D"/>
    <w:rsid w:val="3E8135D7"/>
    <w:rsid w:val="3EB53B36"/>
    <w:rsid w:val="3F18FD9C"/>
    <w:rsid w:val="3F3D27D5"/>
    <w:rsid w:val="3F512FA9"/>
    <w:rsid w:val="3F7871B2"/>
    <w:rsid w:val="3F942E96"/>
    <w:rsid w:val="3FBFF61B"/>
    <w:rsid w:val="3FEF7168"/>
    <w:rsid w:val="403E5F79"/>
    <w:rsid w:val="407707ED"/>
    <w:rsid w:val="40914A0A"/>
    <w:rsid w:val="40D7128C"/>
    <w:rsid w:val="40F7192E"/>
    <w:rsid w:val="4129014F"/>
    <w:rsid w:val="421B789E"/>
    <w:rsid w:val="423C3269"/>
    <w:rsid w:val="42462B6D"/>
    <w:rsid w:val="425907E8"/>
    <w:rsid w:val="429A4C67"/>
    <w:rsid w:val="43482915"/>
    <w:rsid w:val="4446233C"/>
    <w:rsid w:val="446427C8"/>
    <w:rsid w:val="45AD4CB1"/>
    <w:rsid w:val="462A4554"/>
    <w:rsid w:val="46DC472B"/>
    <w:rsid w:val="471760A5"/>
    <w:rsid w:val="47BF138D"/>
    <w:rsid w:val="47D21DD4"/>
    <w:rsid w:val="482C7D6F"/>
    <w:rsid w:val="484713ED"/>
    <w:rsid w:val="484D05AF"/>
    <w:rsid w:val="48F20C10"/>
    <w:rsid w:val="49572DFB"/>
    <w:rsid w:val="4A666278"/>
    <w:rsid w:val="4BB57203"/>
    <w:rsid w:val="4BD77EB3"/>
    <w:rsid w:val="4C215AB1"/>
    <w:rsid w:val="4C6F0621"/>
    <w:rsid w:val="4CC312AD"/>
    <w:rsid w:val="4CEE62DB"/>
    <w:rsid w:val="4D561490"/>
    <w:rsid w:val="4D6B3488"/>
    <w:rsid w:val="4DD809D2"/>
    <w:rsid w:val="4E2D081C"/>
    <w:rsid w:val="4EB946C7"/>
    <w:rsid w:val="4F236021"/>
    <w:rsid w:val="4F4F2935"/>
    <w:rsid w:val="4F714FA1"/>
    <w:rsid w:val="50047BC4"/>
    <w:rsid w:val="50212524"/>
    <w:rsid w:val="50363BA7"/>
    <w:rsid w:val="50465216"/>
    <w:rsid w:val="51A3705B"/>
    <w:rsid w:val="53420F23"/>
    <w:rsid w:val="538057B3"/>
    <w:rsid w:val="53C072F7"/>
    <w:rsid w:val="53DA3115"/>
    <w:rsid w:val="55142068"/>
    <w:rsid w:val="563B5E77"/>
    <w:rsid w:val="56AA5540"/>
    <w:rsid w:val="56B05E5E"/>
    <w:rsid w:val="572709C8"/>
    <w:rsid w:val="58331046"/>
    <w:rsid w:val="58B21B56"/>
    <w:rsid w:val="59C752E8"/>
    <w:rsid w:val="59FD1BCF"/>
    <w:rsid w:val="5A3B0CD5"/>
    <w:rsid w:val="5B25654A"/>
    <w:rsid w:val="5B7219CF"/>
    <w:rsid w:val="5C0D31B3"/>
    <w:rsid w:val="5C967DF5"/>
    <w:rsid w:val="5CC924ED"/>
    <w:rsid w:val="5CF6124B"/>
    <w:rsid w:val="5D23452B"/>
    <w:rsid w:val="5DBC65F2"/>
    <w:rsid w:val="5DFB6EEA"/>
    <w:rsid w:val="5E267344"/>
    <w:rsid w:val="5EB6652D"/>
    <w:rsid w:val="5F361B0C"/>
    <w:rsid w:val="5F4C41D3"/>
    <w:rsid w:val="5F6A078D"/>
    <w:rsid w:val="5FE578CB"/>
    <w:rsid w:val="60746B6D"/>
    <w:rsid w:val="613B0C43"/>
    <w:rsid w:val="613F6CAD"/>
    <w:rsid w:val="615564D1"/>
    <w:rsid w:val="61C91520"/>
    <w:rsid w:val="62C005D4"/>
    <w:rsid w:val="62D13DCC"/>
    <w:rsid w:val="62FC764C"/>
    <w:rsid w:val="63297062"/>
    <w:rsid w:val="6361115D"/>
    <w:rsid w:val="637D5D25"/>
    <w:rsid w:val="63EB6C79"/>
    <w:rsid w:val="63F83144"/>
    <w:rsid w:val="64236D34"/>
    <w:rsid w:val="64290740"/>
    <w:rsid w:val="642C02FD"/>
    <w:rsid w:val="64E02555"/>
    <w:rsid w:val="652156DA"/>
    <w:rsid w:val="65A17F37"/>
    <w:rsid w:val="65B11C4D"/>
    <w:rsid w:val="661311B8"/>
    <w:rsid w:val="66542198"/>
    <w:rsid w:val="66931B68"/>
    <w:rsid w:val="669B6EE1"/>
    <w:rsid w:val="66CA300B"/>
    <w:rsid w:val="66D73621"/>
    <w:rsid w:val="66F81DD8"/>
    <w:rsid w:val="674F0F0A"/>
    <w:rsid w:val="678100AF"/>
    <w:rsid w:val="67E45EB9"/>
    <w:rsid w:val="6887064D"/>
    <w:rsid w:val="68E819D9"/>
    <w:rsid w:val="69286353"/>
    <w:rsid w:val="69BB70ED"/>
    <w:rsid w:val="69DB32EB"/>
    <w:rsid w:val="69F72DC9"/>
    <w:rsid w:val="6A0735B4"/>
    <w:rsid w:val="6AB75B07"/>
    <w:rsid w:val="6B147C44"/>
    <w:rsid w:val="6B9320D0"/>
    <w:rsid w:val="6B9876E6"/>
    <w:rsid w:val="6BFB795D"/>
    <w:rsid w:val="6C073B92"/>
    <w:rsid w:val="6C502255"/>
    <w:rsid w:val="6C69186D"/>
    <w:rsid w:val="6D0A46F4"/>
    <w:rsid w:val="6D2728C0"/>
    <w:rsid w:val="6D8141AA"/>
    <w:rsid w:val="6E99355B"/>
    <w:rsid w:val="6EEFF629"/>
    <w:rsid w:val="6EF74CDE"/>
    <w:rsid w:val="6F176B74"/>
    <w:rsid w:val="6F325F6B"/>
    <w:rsid w:val="6F7E1E1F"/>
    <w:rsid w:val="6F810180"/>
    <w:rsid w:val="6FF4597C"/>
    <w:rsid w:val="703F138F"/>
    <w:rsid w:val="70C64CF5"/>
    <w:rsid w:val="724759C2"/>
    <w:rsid w:val="726C5429"/>
    <w:rsid w:val="7295497F"/>
    <w:rsid w:val="73425592"/>
    <w:rsid w:val="736F369C"/>
    <w:rsid w:val="737C67C9"/>
    <w:rsid w:val="73A465AB"/>
    <w:rsid w:val="73D47729"/>
    <w:rsid w:val="73DB3803"/>
    <w:rsid w:val="746C16D8"/>
    <w:rsid w:val="75030535"/>
    <w:rsid w:val="750B2C3B"/>
    <w:rsid w:val="753B10E2"/>
    <w:rsid w:val="75414E2E"/>
    <w:rsid w:val="75BF7B16"/>
    <w:rsid w:val="75D835D1"/>
    <w:rsid w:val="760F357B"/>
    <w:rsid w:val="76361FD5"/>
    <w:rsid w:val="76612DCA"/>
    <w:rsid w:val="76CD16D4"/>
    <w:rsid w:val="76ED7EA1"/>
    <w:rsid w:val="770A5210"/>
    <w:rsid w:val="774626EC"/>
    <w:rsid w:val="77AD0304"/>
    <w:rsid w:val="77BAF72F"/>
    <w:rsid w:val="78194278"/>
    <w:rsid w:val="78C26FF5"/>
    <w:rsid w:val="7A701BE0"/>
    <w:rsid w:val="7A7E3F4B"/>
    <w:rsid w:val="7A884DCA"/>
    <w:rsid w:val="7A8B6F63"/>
    <w:rsid w:val="7AC2652D"/>
    <w:rsid w:val="7B113011"/>
    <w:rsid w:val="7B1472A3"/>
    <w:rsid w:val="7B2E771F"/>
    <w:rsid w:val="7B442099"/>
    <w:rsid w:val="7B6E5E46"/>
    <w:rsid w:val="7B8E01BE"/>
    <w:rsid w:val="7BFC8E32"/>
    <w:rsid w:val="7C4D62CB"/>
    <w:rsid w:val="7C5D4691"/>
    <w:rsid w:val="7CF229CE"/>
    <w:rsid w:val="7D146DE8"/>
    <w:rsid w:val="7D172B3D"/>
    <w:rsid w:val="7D817C48"/>
    <w:rsid w:val="7D8C4BD1"/>
    <w:rsid w:val="7DF7B51E"/>
    <w:rsid w:val="7E015439"/>
    <w:rsid w:val="7E376174"/>
    <w:rsid w:val="7ED14F91"/>
    <w:rsid w:val="7EE82052"/>
    <w:rsid w:val="7EF256EF"/>
    <w:rsid w:val="7EFFA832"/>
    <w:rsid w:val="7F040D26"/>
    <w:rsid w:val="7F736048"/>
    <w:rsid w:val="7FBAFDB6"/>
    <w:rsid w:val="7FBDD16B"/>
    <w:rsid w:val="7FE87CF5"/>
    <w:rsid w:val="7FF9F46D"/>
    <w:rsid w:val="9EE5EA63"/>
    <w:rsid w:val="ADFF5EDE"/>
    <w:rsid w:val="AF3F2252"/>
    <w:rsid w:val="BB59CEDB"/>
    <w:rsid w:val="DFD57302"/>
    <w:rsid w:val="E7CBD3F1"/>
    <w:rsid w:val="FDB67780"/>
    <w:rsid w:val="FF7F1826"/>
    <w:rsid w:val="FFDEEA34"/>
    <w:rsid w:val="FFF6983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line="360" w:lineRule="auto"/>
      <w:ind w:firstLine="1044" w:firstLineChars="200"/>
      <w:outlineLvl w:val="0"/>
    </w:pPr>
    <w:rPr>
      <w:rFonts w:eastAsia="黑体"/>
      <w:bCs/>
      <w:kern w:val="44"/>
      <w:sz w:val="32"/>
      <w:szCs w:val="44"/>
    </w:rPr>
  </w:style>
  <w:style w:type="paragraph" w:styleId="3">
    <w:name w:val="heading 2"/>
    <w:basedOn w:val="1"/>
    <w:next w:val="1"/>
    <w:autoRedefine/>
    <w:unhideWhenUsed/>
    <w:qFormat/>
    <w:uiPriority w:val="9"/>
    <w:pPr>
      <w:keepNext/>
      <w:keepLines/>
      <w:spacing w:line="360" w:lineRule="auto"/>
      <w:ind w:firstLine="1044" w:firstLineChars="200"/>
      <w:outlineLvl w:val="1"/>
    </w:pPr>
    <w:rPr>
      <w:rFonts w:ascii="Arial" w:hAnsi="Arial" w:eastAsia="仿宋"/>
      <w:b/>
      <w:sz w:val="32"/>
    </w:rPr>
  </w:style>
  <w:style w:type="paragraph" w:styleId="4">
    <w:name w:val="heading 3"/>
    <w:basedOn w:val="1"/>
    <w:next w:val="1"/>
    <w:link w:val="30"/>
    <w:autoRedefine/>
    <w:unhideWhenUsed/>
    <w:qFormat/>
    <w:uiPriority w:val="9"/>
    <w:pPr>
      <w:keepNext/>
      <w:keepLines/>
      <w:spacing w:line="360" w:lineRule="auto"/>
      <w:ind w:firstLine="1044" w:firstLineChars="200"/>
      <w:outlineLvl w:val="2"/>
    </w:pPr>
    <w:rPr>
      <w:rFonts w:eastAsia="楷体"/>
      <w:bCs/>
      <w:sz w:val="32"/>
      <w:szCs w:val="32"/>
    </w:rPr>
  </w:style>
  <w:style w:type="paragraph" w:styleId="5">
    <w:name w:val="heading 4"/>
    <w:basedOn w:val="1"/>
    <w:next w:val="1"/>
    <w:autoRedefine/>
    <w:unhideWhenUsed/>
    <w:qFormat/>
    <w:uiPriority w:val="0"/>
    <w:pPr>
      <w:keepNext/>
      <w:keepLines/>
      <w:numPr>
        <w:ilvl w:val="3"/>
        <w:numId w:val="1"/>
      </w:numPr>
      <w:spacing w:before="280" w:after="29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autoRedefine/>
    <w:qFormat/>
    <w:uiPriority w:val="0"/>
    <w:pPr>
      <w:ind w:firstLine="420" w:firstLineChars="200"/>
    </w:pPr>
  </w:style>
  <w:style w:type="paragraph" w:styleId="7">
    <w:name w:val="annotation text"/>
    <w:basedOn w:val="1"/>
    <w:link w:val="24"/>
    <w:autoRedefine/>
    <w:semiHidden/>
    <w:unhideWhenUsed/>
    <w:qFormat/>
    <w:uiPriority w:val="99"/>
    <w:pPr>
      <w:jc w:val="left"/>
    </w:pPr>
  </w:style>
  <w:style w:type="paragraph" w:styleId="8">
    <w:name w:val="Body Text"/>
    <w:basedOn w:val="1"/>
    <w:next w:val="9"/>
    <w:autoRedefine/>
    <w:qFormat/>
    <w:uiPriority w:val="0"/>
    <w:pPr>
      <w:spacing w:before="101" w:line="360" w:lineRule="auto"/>
      <w:ind w:right="11" w:firstLine="652" w:firstLineChars="200"/>
    </w:pPr>
    <w:rPr>
      <w:rFonts w:ascii="仿宋" w:hAnsi="仿宋" w:eastAsia="仿宋" w:cs="仿宋"/>
      <w:color w:val="FF0000"/>
      <w:spacing w:val="23"/>
      <w:sz w:val="28"/>
      <w:szCs w:val="28"/>
    </w:rPr>
  </w:style>
  <w:style w:type="paragraph" w:customStyle="1" w:styleId="9">
    <w:name w:val="toc 11"/>
    <w:next w:val="1"/>
    <w:autoRedefine/>
    <w:qFormat/>
    <w:uiPriority w:val="0"/>
    <w:pPr>
      <w:wordWrap w:val="0"/>
      <w:jc w:val="both"/>
    </w:pPr>
    <w:rPr>
      <w:rFonts w:ascii="Times New Roman" w:hAnsi="Times New Roman" w:eastAsia="宋体" w:cs="Times New Roman"/>
      <w:sz w:val="21"/>
      <w:szCs w:val="22"/>
      <w:lang w:val="en-US" w:eastAsia="zh-CN" w:bidi="ar-SA"/>
    </w:rPr>
  </w:style>
  <w:style w:type="paragraph" w:styleId="10">
    <w:name w:val="toc 3"/>
    <w:basedOn w:val="1"/>
    <w:next w:val="1"/>
    <w:autoRedefine/>
    <w:unhideWhenUsed/>
    <w:qFormat/>
    <w:uiPriority w:val="39"/>
    <w:pPr>
      <w:ind w:left="840" w:leftChars="400"/>
    </w:pPr>
  </w:style>
  <w:style w:type="paragraph" w:styleId="11">
    <w:name w:val="Balloon Text"/>
    <w:basedOn w:val="1"/>
    <w:link w:val="26"/>
    <w:autoRedefine/>
    <w:semiHidden/>
    <w:unhideWhenUsed/>
    <w:qFormat/>
    <w:uiPriority w:val="99"/>
    <w:rPr>
      <w:sz w:val="18"/>
      <w:szCs w:val="18"/>
    </w:rPr>
  </w:style>
  <w:style w:type="paragraph" w:styleId="12">
    <w:name w:val="footer"/>
    <w:basedOn w:val="1"/>
    <w:link w:val="28"/>
    <w:autoRedefine/>
    <w:unhideWhenUsed/>
    <w:qFormat/>
    <w:uiPriority w:val="99"/>
    <w:pPr>
      <w:tabs>
        <w:tab w:val="center" w:pos="4153"/>
        <w:tab w:val="right" w:pos="8306"/>
      </w:tabs>
      <w:snapToGrid w:val="0"/>
      <w:jc w:val="left"/>
    </w:pPr>
    <w:rPr>
      <w:sz w:val="18"/>
      <w:szCs w:val="18"/>
    </w:rPr>
  </w:style>
  <w:style w:type="paragraph" w:styleId="13">
    <w:name w:val="header"/>
    <w:basedOn w:val="1"/>
    <w:link w:val="2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toc 2"/>
    <w:basedOn w:val="1"/>
    <w:next w:val="1"/>
    <w:autoRedefine/>
    <w:unhideWhenUsed/>
    <w:qFormat/>
    <w:uiPriority w:val="39"/>
    <w:pPr>
      <w:ind w:left="420" w:leftChars="200"/>
    </w:pPr>
  </w:style>
  <w:style w:type="paragraph" w:styleId="16">
    <w:name w:val="Normal (Web)"/>
    <w:basedOn w:val="1"/>
    <w:autoRedefine/>
    <w:qFormat/>
    <w:uiPriority w:val="0"/>
    <w:pPr>
      <w:spacing w:beforeAutospacing="1" w:afterAutospacing="1"/>
      <w:jc w:val="left"/>
    </w:pPr>
    <w:rPr>
      <w:kern w:val="0"/>
      <w:sz w:val="24"/>
    </w:rPr>
  </w:style>
  <w:style w:type="paragraph" w:styleId="17">
    <w:name w:val="annotation subject"/>
    <w:basedOn w:val="7"/>
    <w:next w:val="7"/>
    <w:link w:val="25"/>
    <w:autoRedefine/>
    <w:semiHidden/>
    <w:unhideWhenUsed/>
    <w:qFormat/>
    <w:uiPriority w:val="99"/>
    <w:rPr>
      <w:b/>
      <w:bCs/>
    </w:rPr>
  </w:style>
  <w:style w:type="character" w:styleId="20">
    <w:name w:val="Strong"/>
    <w:basedOn w:val="19"/>
    <w:autoRedefine/>
    <w:qFormat/>
    <w:uiPriority w:val="22"/>
    <w:rPr>
      <w:b/>
    </w:rPr>
  </w:style>
  <w:style w:type="character" w:styleId="21">
    <w:name w:val="Hyperlink"/>
    <w:basedOn w:val="19"/>
    <w:autoRedefine/>
    <w:unhideWhenUsed/>
    <w:qFormat/>
    <w:uiPriority w:val="99"/>
    <w:rPr>
      <w:color w:val="0000FF"/>
      <w:u w:val="single"/>
    </w:rPr>
  </w:style>
  <w:style w:type="character" w:styleId="22">
    <w:name w:val="annotation reference"/>
    <w:basedOn w:val="19"/>
    <w:autoRedefine/>
    <w:semiHidden/>
    <w:unhideWhenUsed/>
    <w:qFormat/>
    <w:uiPriority w:val="99"/>
    <w:rPr>
      <w:sz w:val="21"/>
      <w:szCs w:val="21"/>
    </w:rPr>
  </w:style>
  <w:style w:type="paragraph" w:customStyle="1" w:styleId="23">
    <w:name w:val="目录 11"/>
    <w:next w:val="1"/>
    <w:autoRedefine/>
    <w:qFormat/>
    <w:uiPriority w:val="0"/>
    <w:pPr>
      <w:wordWrap w:val="0"/>
      <w:jc w:val="both"/>
    </w:pPr>
    <w:rPr>
      <w:rFonts w:ascii="Times New Roman" w:hAnsi="Times New Roman" w:eastAsia="宋体" w:cs="Times New Roman"/>
      <w:sz w:val="21"/>
      <w:szCs w:val="22"/>
      <w:lang w:val="en-US" w:eastAsia="zh-CN" w:bidi="ar-SA"/>
    </w:rPr>
  </w:style>
  <w:style w:type="character" w:customStyle="1" w:styleId="24">
    <w:name w:val="批注文字 字符"/>
    <w:basedOn w:val="19"/>
    <w:link w:val="7"/>
    <w:autoRedefine/>
    <w:semiHidden/>
    <w:qFormat/>
    <w:uiPriority w:val="99"/>
    <w:rPr>
      <w:rFonts w:ascii="Times New Roman" w:hAnsi="Times New Roman" w:eastAsia="宋体" w:cs="Times New Roman"/>
      <w:szCs w:val="24"/>
    </w:rPr>
  </w:style>
  <w:style w:type="character" w:customStyle="1" w:styleId="25">
    <w:name w:val="批注主题 字符"/>
    <w:basedOn w:val="24"/>
    <w:link w:val="17"/>
    <w:autoRedefine/>
    <w:semiHidden/>
    <w:qFormat/>
    <w:uiPriority w:val="99"/>
    <w:rPr>
      <w:rFonts w:ascii="Times New Roman" w:hAnsi="Times New Roman" w:eastAsia="宋体" w:cs="Times New Roman"/>
      <w:b/>
      <w:bCs/>
      <w:szCs w:val="24"/>
    </w:rPr>
  </w:style>
  <w:style w:type="character" w:customStyle="1" w:styleId="26">
    <w:name w:val="批注框文本 字符"/>
    <w:basedOn w:val="19"/>
    <w:link w:val="11"/>
    <w:autoRedefine/>
    <w:semiHidden/>
    <w:qFormat/>
    <w:uiPriority w:val="99"/>
    <w:rPr>
      <w:rFonts w:ascii="Times New Roman" w:hAnsi="Times New Roman" w:eastAsia="宋体" w:cs="Times New Roman"/>
      <w:sz w:val="18"/>
      <w:szCs w:val="18"/>
    </w:rPr>
  </w:style>
  <w:style w:type="character" w:customStyle="1" w:styleId="27">
    <w:name w:val="页眉 字符"/>
    <w:basedOn w:val="19"/>
    <w:link w:val="13"/>
    <w:autoRedefine/>
    <w:qFormat/>
    <w:uiPriority w:val="99"/>
    <w:rPr>
      <w:rFonts w:ascii="Times New Roman" w:hAnsi="Times New Roman" w:eastAsia="宋体" w:cs="Times New Roman"/>
      <w:sz w:val="18"/>
      <w:szCs w:val="18"/>
    </w:rPr>
  </w:style>
  <w:style w:type="character" w:customStyle="1" w:styleId="28">
    <w:name w:val="页脚 字符"/>
    <w:basedOn w:val="19"/>
    <w:link w:val="12"/>
    <w:autoRedefine/>
    <w:qFormat/>
    <w:uiPriority w:val="99"/>
    <w:rPr>
      <w:rFonts w:ascii="Times New Roman" w:hAnsi="Times New Roman" w:eastAsia="宋体" w:cs="Times New Roman"/>
      <w:sz w:val="18"/>
      <w:szCs w:val="18"/>
    </w:rPr>
  </w:style>
  <w:style w:type="paragraph" w:customStyle="1" w:styleId="29">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30">
    <w:name w:val="标题 3 字符"/>
    <w:basedOn w:val="19"/>
    <w:link w:val="4"/>
    <w:autoRedefine/>
    <w:semiHidden/>
    <w:qFormat/>
    <w:uiPriority w:val="9"/>
    <w:rPr>
      <w:rFonts w:ascii="Times New Roman" w:hAnsi="Times New Roman" w:eastAsia="楷体"/>
      <w:bCs/>
      <w:kern w:val="2"/>
      <w:sz w:val="32"/>
      <w:szCs w:val="32"/>
    </w:rPr>
  </w:style>
  <w:style w:type="paragraph" w:customStyle="1" w:styleId="31">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32">
    <w:name w:val="修订3"/>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33">
    <w:name w:val="样式1"/>
    <w:basedOn w:val="2"/>
    <w:autoRedefine/>
    <w:qFormat/>
    <w:uiPriority w:val="0"/>
    <w:pPr>
      <w:spacing w:after="100" w:afterLines="100"/>
      <w:jc w:val="center"/>
    </w:pPr>
  </w:style>
  <w:style w:type="paragraph" w:customStyle="1" w:styleId="34">
    <w:name w:val="表格"/>
    <w:basedOn w:val="1"/>
    <w:autoRedefine/>
    <w:qFormat/>
    <w:uiPriority w:val="0"/>
    <w:pPr>
      <w:jc w:val="center"/>
    </w:pPr>
    <w:rPr>
      <w:rFonts w:ascii="Verdana" w:hAnsi="Verdana" w:eastAsia="仿宋_GB2312"/>
      <w:sz w:val="24"/>
      <w:lang w:eastAsia="en-US"/>
    </w:rPr>
  </w:style>
  <w:style w:type="character" w:customStyle="1" w:styleId="35">
    <w:name w:val="font61"/>
    <w:basedOn w:val="19"/>
    <w:autoRedefine/>
    <w:qFormat/>
    <w:uiPriority w:val="0"/>
    <w:rPr>
      <w:rFonts w:hint="eastAsia" w:ascii="宋体" w:hAnsi="宋体" w:eastAsia="宋体" w:cs="宋体"/>
      <w:b/>
      <w:bCs/>
      <w:color w:val="000000"/>
      <w:sz w:val="18"/>
      <w:szCs w:val="18"/>
      <w:u w:val="none"/>
    </w:rPr>
  </w:style>
  <w:style w:type="character" w:customStyle="1" w:styleId="36">
    <w:name w:val="font11"/>
    <w:basedOn w:val="19"/>
    <w:autoRedefine/>
    <w:qFormat/>
    <w:uiPriority w:val="0"/>
    <w:rPr>
      <w:rFonts w:hint="eastAsia" w:ascii="宋体" w:hAnsi="宋体" w:eastAsia="宋体" w:cs="宋体"/>
      <w:color w:val="000000"/>
      <w:sz w:val="18"/>
      <w:szCs w:val="18"/>
      <w:u w:val="none"/>
    </w:rPr>
  </w:style>
  <w:style w:type="paragraph" w:customStyle="1" w:styleId="3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11299</Words>
  <Characters>12065</Characters>
  <Lines>101</Lines>
  <Paragraphs>28</Paragraphs>
  <TotalTime>38</TotalTime>
  <ScaleCrop>false</ScaleCrop>
  <LinksUpToDate>false</LinksUpToDate>
  <CharactersWithSpaces>12190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2022-05-29T13:26:00Z</dcterms:created>
  <dc:creator>lenovo</dc:creator>
  <cp:lastModifiedBy>凡特赛</cp:lastModifiedBy>
  <cp:lastPrinted>2024-05-29T09:23:00Z</cp:lastPrinted>
  <dcterms:modified xsi:type="dcterms:W3CDTF">2024-06-07T04:00:28Z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F85344F4CE0043F494275A8BE7588ED6_13</vt:lpwstr>
  </property>
</Properties>
</file>